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3F" w:rsidRPr="00771736" w:rsidRDefault="00644B75" w:rsidP="00771736">
      <w:pPr>
        <w:pStyle w:val="Titel"/>
        <w:ind w:left="708" w:hanging="708"/>
        <w:rPr>
          <w:rFonts w:ascii="Verdana" w:hAnsi="Verdana" w:cstheme="minorHAnsi"/>
          <w:sz w:val="28"/>
        </w:rPr>
      </w:pPr>
      <w:r>
        <w:rPr>
          <w:rFonts w:ascii="Verdana" w:hAnsi="Verdana" w:cstheme="minorHAnsi"/>
          <w:noProof/>
          <w:sz w:val="28"/>
          <w:lang w:eastAsia="nl-BE"/>
        </w:rPr>
        <w:drawing>
          <wp:inline distT="0" distB="0" distL="0" distR="0">
            <wp:extent cx="2324100" cy="103498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47" cy="104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63F" w:rsidRDefault="00771736" w:rsidP="005B0A77">
      <w:pPr>
        <w:pStyle w:val="Titel"/>
        <w:rPr>
          <w:rFonts w:ascii="Verdana" w:hAnsi="Verdana" w:cstheme="minorHAnsi"/>
          <w:sz w:val="28"/>
        </w:rPr>
      </w:pPr>
      <w:r>
        <w:rPr>
          <w:rFonts w:ascii="Verdana" w:hAnsi="Verdana" w:cstheme="minorHAnsi"/>
          <w:sz w:val="28"/>
        </w:rPr>
        <w:t>Informatief t</w:t>
      </w:r>
      <w:r w:rsidR="00D1363F" w:rsidRPr="00771736">
        <w:rPr>
          <w:rFonts w:ascii="Verdana" w:hAnsi="Verdana" w:cstheme="minorHAnsi"/>
          <w:sz w:val="28"/>
        </w:rPr>
        <w:t>arieven</w:t>
      </w:r>
      <w:r>
        <w:rPr>
          <w:rFonts w:ascii="Verdana" w:hAnsi="Verdana" w:cstheme="minorHAnsi"/>
          <w:sz w:val="28"/>
        </w:rPr>
        <w:t>blad</w:t>
      </w:r>
    </w:p>
    <w:p w:rsidR="00D46824" w:rsidRPr="00771736" w:rsidRDefault="00D46824" w:rsidP="005B0A77">
      <w:pPr>
        <w:pStyle w:val="Titel"/>
        <w:rPr>
          <w:rFonts w:ascii="Verdana" w:hAnsi="Verdana" w:cstheme="minorHAnsi"/>
          <w:sz w:val="28"/>
        </w:rPr>
      </w:pPr>
    </w:p>
    <w:p w:rsidR="00C243E7" w:rsidRPr="00771736" w:rsidRDefault="00D1363F" w:rsidP="008C7A7B">
      <w:pPr>
        <w:pStyle w:val="Kop1"/>
        <w:rPr>
          <w:rFonts w:ascii="Verdana" w:hAnsi="Verdana" w:cstheme="minorHAnsi"/>
          <w:sz w:val="24"/>
          <w:szCs w:val="24"/>
        </w:rPr>
      </w:pPr>
      <w:r w:rsidRPr="00771736">
        <w:rPr>
          <w:rFonts w:ascii="Verdana" w:hAnsi="Verdana" w:cstheme="minorHAnsi"/>
          <w:sz w:val="24"/>
          <w:szCs w:val="24"/>
        </w:rPr>
        <w:t>Lidmaatschap</w:t>
      </w:r>
    </w:p>
    <w:p w:rsidR="00E763A6" w:rsidRPr="00771736" w:rsidRDefault="004F4F3A" w:rsidP="00FF01A7">
      <w:pPr>
        <w:pStyle w:val="Kop2"/>
        <w:numPr>
          <w:ilvl w:val="0"/>
          <w:numId w:val="0"/>
        </w:numPr>
        <w:spacing w:before="240" w:beforeAutospacing="0"/>
        <w:ind w:left="1008" w:hanging="576"/>
        <w:jc w:val="both"/>
        <w:rPr>
          <w:rFonts w:cstheme="minorHAnsi"/>
          <w:sz w:val="18"/>
        </w:rPr>
      </w:pPr>
      <w:r w:rsidRPr="00771736">
        <w:rPr>
          <w:rFonts w:cstheme="minorHAnsi"/>
          <w:sz w:val="18"/>
        </w:rPr>
        <w:t>Wil je gebruik</w:t>
      </w:r>
      <w:r w:rsidR="00EA572D" w:rsidRPr="00771736">
        <w:rPr>
          <w:rFonts w:cstheme="minorHAnsi"/>
          <w:sz w:val="18"/>
        </w:rPr>
        <w:t xml:space="preserve"> maken van de </w:t>
      </w:r>
      <w:r w:rsidR="001D6F89">
        <w:rPr>
          <w:rFonts w:cstheme="minorHAnsi"/>
          <w:sz w:val="18"/>
        </w:rPr>
        <w:t>speelotheek</w:t>
      </w:r>
      <w:r w:rsidRPr="00771736">
        <w:rPr>
          <w:rFonts w:cstheme="minorHAnsi"/>
          <w:sz w:val="18"/>
        </w:rPr>
        <w:t>, dan</w:t>
      </w:r>
      <w:r w:rsidR="00EA572D" w:rsidRPr="00771736">
        <w:rPr>
          <w:rFonts w:cstheme="minorHAnsi"/>
          <w:sz w:val="18"/>
        </w:rPr>
        <w:t xml:space="preserve"> moet</w:t>
      </w:r>
      <w:r w:rsidRPr="00771736">
        <w:rPr>
          <w:rFonts w:cstheme="minorHAnsi"/>
          <w:sz w:val="18"/>
        </w:rPr>
        <w:t xml:space="preserve"> je eerst</w:t>
      </w:r>
      <w:r w:rsidR="00E763A6" w:rsidRPr="00771736">
        <w:rPr>
          <w:rFonts w:cstheme="minorHAnsi"/>
          <w:sz w:val="18"/>
        </w:rPr>
        <w:t xml:space="preserve"> inschrijven.</w:t>
      </w:r>
      <w:r w:rsidR="005E2CCB">
        <w:rPr>
          <w:rFonts w:cstheme="minorHAnsi"/>
          <w:sz w:val="18"/>
        </w:rPr>
        <w:t xml:space="preserve"> De inschrijving is gratis tot eind 2017. Vanaf 2018 is het lidmaatschap betalend.</w:t>
      </w:r>
      <w:bookmarkStart w:id="0" w:name="_GoBack"/>
      <w:bookmarkEnd w:id="0"/>
    </w:p>
    <w:p w:rsidR="004265BC" w:rsidRDefault="004265BC" w:rsidP="00771736">
      <w:pPr>
        <w:spacing w:after="0" w:line="240" w:lineRule="auto"/>
        <w:ind w:firstLine="432"/>
        <w:rPr>
          <w:rFonts w:ascii="Verdana" w:hAnsi="Verdana"/>
          <w:sz w:val="18"/>
          <w:szCs w:val="18"/>
        </w:rPr>
      </w:pPr>
      <w:r w:rsidRPr="00771736">
        <w:rPr>
          <w:rFonts w:ascii="Verdana" w:hAnsi="Verdana"/>
          <w:sz w:val="18"/>
          <w:szCs w:val="18"/>
        </w:rPr>
        <w:t>De vergoeding voor een lidkaart wordt als volgt bepaald:</w:t>
      </w:r>
    </w:p>
    <w:p w:rsidR="000F7BAD" w:rsidRDefault="000F7BAD" w:rsidP="00771736">
      <w:pPr>
        <w:spacing w:after="0" w:line="240" w:lineRule="auto"/>
        <w:ind w:firstLine="432"/>
        <w:rPr>
          <w:rFonts w:ascii="Verdana" w:hAnsi="Verdana"/>
          <w:sz w:val="18"/>
          <w:szCs w:val="18"/>
        </w:rPr>
      </w:pPr>
    </w:p>
    <w:p w:rsidR="000F7BAD" w:rsidRPr="00771736" w:rsidRDefault="000F7BAD" w:rsidP="00771736">
      <w:pPr>
        <w:spacing w:after="0" w:line="240" w:lineRule="auto"/>
        <w:ind w:firstLine="432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2254"/>
        <w:gridCol w:w="1820"/>
        <w:gridCol w:w="2204"/>
        <w:gridCol w:w="2208"/>
      </w:tblGrid>
      <w:tr w:rsidR="004265BC" w:rsidRPr="00771736" w:rsidTr="000F7BAD">
        <w:tc>
          <w:tcPr>
            <w:tcW w:w="2254" w:type="dxa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b/>
                <w:sz w:val="18"/>
              </w:rPr>
            </w:pPr>
            <w:r w:rsidRPr="00771736">
              <w:rPr>
                <w:b/>
                <w:sz w:val="18"/>
              </w:rPr>
              <w:t>Aansluiting tussen</w:t>
            </w:r>
          </w:p>
        </w:tc>
        <w:tc>
          <w:tcPr>
            <w:tcW w:w="1820" w:type="dxa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b/>
                <w:sz w:val="18"/>
              </w:rPr>
            </w:pPr>
            <w:r w:rsidRPr="00771736">
              <w:rPr>
                <w:b/>
                <w:sz w:val="18"/>
              </w:rPr>
              <w:t>Geldig tot</w:t>
            </w:r>
          </w:p>
        </w:tc>
        <w:tc>
          <w:tcPr>
            <w:tcW w:w="2204" w:type="dxa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b/>
                <w:sz w:val="18"/>
              </w:rPr>
            </w:pPr>
            <w:r w:rsidRPr="00771736">
              <w:rPr>
                <w:b/>
                <w:sz w:val="18"/>
              </w:rPr>
              <w:t>Gewoon tarief &amp; organisaties</w:t>
            </w:r>
          </w:p>
        </w:tc>
        <w:tc>
          <w:tcPr>
            <w:tcW w:w="2208" w:type="dxa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b/>
                <w:sz w:val="18"/>
              </w:rPr>
            </w:pPr>
            <w:r w:rsidRPr="00771736">
              <w:rPr>
                <w:b/>
                <w:sz w:val="18"/>
              </w:rPr>
              <w:t>Sociaal tarief</w:t>
            </w:r>
            <w:r w:rsidR="00771736" w:rsidRPr="00771736">
              <w:rPr>
                <w:b/>
                <w:sz w:val="18"/>
              </w:rPr>
              <w:t xml:space="preserve"> *</w:t>
            </w:r>
          </w:p>
        </w:tc>
      </w:tr>
      <w:tr w:rsidR="004265BC" w:rsidRPr="00771736" w:rsidTr="000F7BAD">
        <w:tc>
          <w:tcPr>
            <w:tcW w:w="2254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01/01 – 31/03</w:t>
            </w:r>
          </w:p>
        </w:tc>
        <w:tc>
          <w:tcPr>
            <w:tcW w:w="1820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31/12</w:t>
            </w:r>
          </w:p>
        </w:tc>
        <w:tc>
          <w:tcPr>
            <w:tcW w:w="2204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€ 8,00</w:t>
            </w:r>
          </w:p>
        </w:tc>
        <w:tc>
          <w:tcPr>
            <w:tcW w:w="2208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€ 2,00</w:t>
            </w:r>
          </w:p>
        </w:tc>
      </w:tr>
      <w:tr w:rsidR="004265BC" w:rsidRPr="00771736" w:rsidTr="000F7BAD">
        <w:tc>
          <w:tcPr>
            <w:tcW w:w="2254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1/04 – 30/06</w:t>
            </w:r>
          </w:p>
        </w:tc>
        <w:tc>
          <w:tcPr>
            <w:tcW w:w="1820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31/12</w:t>
            </w:r>
          </w:p>
        </w:tc>
        <w:tc>
          <w:tcPr>
            <w:tcW w:w="2204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€ 6,00</w:t>
            </w:r>
          </w:p>
        </w:tc>
        <w:tc>
          <w:tcPr>
            <w:tcW w:w="2208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€ 1,50</w:t>
            </w:r>
          </w:p>
        </w:tc>
      </w:tr>
      <w:tr w:rsidR="004265BC" w:rsidRPr="00771736" w:rsidTr="000F7BAD">
        <w:tc>
          <w:tcPr>
            <w:tcW w:w="2254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1/07 – 30/09</w:t>
            </w:r>
          </w:p>
        </w:tc>
        <w:tc>
          <w:tcPr>
            <w:tcW w:w="1820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31/12</w:t>
            </w:r>
          </w:p>
        </w:tc>
        <w:tc>
          <w:tcPr>
            <w:tcW w:w="2204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€ 4,00</w:t>
            </w:r>
          </w:p>
        </w:tc>
        <w:tc>
          <w:tcPr>
            <w:tcW w:w="2208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€ 1,00</w:t>
            </w:r>
          </w:p>
        </w:tc>
      </w:tr>
      <w:tr w:rsidR="004265BC" w:rsidRPr="00771736" w:rsidTr="000F7BAD">
        <w:tc>
          <w:tcPr>
            <w:tcW w:w="2254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1/10 – 31/12</w:t>
            </w:r>
          </w:p>
        </w:tc>
        <w:tc>
          <w:tcPr>
            <w:tcW w:w="1820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31/12</w:t>
            </w:r>
          </w:p>
        </w:tc>
        <w:tc>
          <w:tcPr>
            <w:tcW w:w="2204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€ 2,00</w:t>
            </w:r>
          </w:p>
        </w:tc>
        <w:tc>
          <w:tcPr>
            <w:tcW w:w="2208" w:type="dxa"/>
            <w:vAlign w:val="center"/>
          </w:tcPr>
          <w:p w:rsidR="004265BC" w:rsidRPr="00771736" w:rsidRDefault="004265BC" w:rsidP="004265BC">
            <w:pPr>
              <w:pStyle w:val="Kop2"/>
              <w:numPr>
                <w:ilvl w:val="0"/>
                <w:numId w:val="0"/>
              </w:numPr>
              <w:spacing w:before="240" w:beforeAutospacing="0"/>
              <w:jc w:val="center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€ 0,50</w:t>
            </w:r>
          </w:p>
        </w:tc>
      </w:tr>
    </w:tbl>
    <w:p w:rsidR="00771736" w:rsidRPr="00771736" w:rsidRDefault="007A1605" w:rsidP="000F7BAD">
      <w:pPr>
        <w:pStyle w:val="Kop2"/>
        <w:numPr>
          <w:ilvl w:val="0"/>
          <w:numId w:val="0"/>
        </w:numPr>
        <w:spacing w:before="0" w:beforeAutospacing="0" w:after="0" w:afterAutospacing="0"/>
        <w:ind w:left="426"/>
        <w:jc w:val="both"/>
        <w:rPr>
          <w:sz w:val="18"/>
          <w:szCs w:val="20"/>
        </w:rPr>
      </w:pPr>
      <w:r>
        <w:rPr>
          <w:rFonts w:cstheme="minorHAnsi"/>
          <w:sz w:val="18"/>
        </w:rPr>
        <w:br/>
      </w:r>
      <w:r w:rsidR="00771736" w:rsidRPr="00771736">
        <w:rPr>
          <w:rFonts w:cstheme="minorHAnsi"/>
          <w:sz w:val="18"/>
        </w:rPr>
        <w:t xml:space="preserve">* </w:t>
      </w:r>
      <w:r w:rsidR="00771736" w:rsidRPr="00771736">
        <w:rPr>
          <w:sz w:val="18"/>
          <w:szCs w:val="20"/>
        </w:rPr>
        <w:t xml:space="preserve">Sociaal tarief geldt voor elke gebruiker </w:t>
      </w:r>
      <w:r w:rsidR="00267CFD" w:rsidRPr="00771736">
        <w:rPr>
          <w:sz w:val="18"/>
          <w:szCs w:val="20"/>
        </w:rPr>
        <w:t>die:</w:t>
      </w:r>
    </w:p>
    <w:p w:rsidR="00771736" w:rsidRPr="00771736" w:rsidRDefault="00771736" w:rsidP="00771736">
      <w:pPr>
        <w:pStyle w:val="Kop2"/>
        <w:numPr>
          <w:ilvl w:val="1"/>
          <w:numId w:val="2"/>
        </w:numPr>
        <w:spacing w:before="0" w:beforeAutospacing="0" w:after="0" w:afterAutospacing="0"/>
        <w:jc w:val="both"/>
        <w:rPr>
          <w:sz w:val="18"/>
          <w:szCs w:val="20"/>
        </w:rPr>
      </w:pPr>
      <w:r w:rsidRPr="00771736">
        <w:rPr>
          <w:sz w:val="18"/>
          <w:szCs w:val="20"/>
        </w:rPr>
        <w:t xml:space="preserve">een </w:t>
      </w:r>
      <w:r w:rsidR="00267CFD" w:rsidRPr="00771736">
        <w:rPr>
          <w:sz w:val="18"/>
          <w:szCs w:val="20"/>
        </w:rPr>
        <w:t>Uitpas</w:t>
      </w:r>
      <w:r w:rsidRPr="00771736">
        <w:rPr>
          <w:sz w:val="18"/>
          <w:szCs w:val="20"/>
        </w:rPr>
        <w:t xml:space="preserve"> aan sociaal tarief heeft, </w:t>
      </w:r>
    </w:p>
    <w:p w:rsidR="00771736" w:rsidRPr="00771736" w:rsidRDefault="002D67F3" w:rsidP="00771736">
      <w:pPr>
        <w:pStyle w:val="Kop2"/>
        <w:numPr>
          <w:ilvl w:val="1"/>
          <w:numId w:val="2"/>
        </w:numPr>
        <w:spacing w:before="0" w:beforeAutospacing="0" w:after="0" w:afterAutospacing="0"/>
        <w:jc w:val="both"/>
        <w:rPr>
          <w:sz w:val="18"/>
          <w:szCs w:val="20"/>
        </w:rPr>
      </w:pPr>
      <w:r>
        <w:rPr>
          <w:sz w:val="18"/>
          <w:szCs w:val="20"/>
        </w:rPr>
        <w:t>toelaatbaar verklaard werd tot de collectieve schuldenregeling</w:t>
      </w:r>
      <w:r w:rsidR="00771736" w:rsidRPr="00771736">
        <w:rPr>
          <w:sz w:val="18"/>
          <w:szCs w:val="20"/>
        </w:rPr>
        <w:t xml:space="preserve"> </w:t>
      </w:r>
    </w:p>
    <w:p w:rsidR="00771736" w:rsidRPr="00771736" w:rsidRDefault="00771736" w:rsidP="00771736">
      <w:pPr>
        <w:pStyle w:val="Kop2"/>
        <w:numPr>
          <w:ilvl w:val="1"/>
          <w:numId w:val="2"/>
        </w:numPr>
        <w:spacing w:before="0" w:beforeAutospacing="0" w:after="0" w:afterAutospacing="0"/>
        <w:jc w:val="both"/>
        <w:rPr>
          <w:sz w:val="18"/>
          <w:szCs w:val="20"/>
        </w:rPr>
      </w:pPr>
      <w:r w:rsidRPr="00771736">
        <w:rPr>
          <w:sz w:val="18"/>
          <w:szCs w:val="20"/>
        </w:rPr>
        <w:t xml:space="preserve">of een kaart van de sociale kruidenier ’t Winkeltje heeft. </w:t>
      </w:r>
    </w:p>
    <w:p w:rsidR="004265BC" w:rsidRPr="00771736" w:rsidRDefault="00771736" w:rsidP="00771736">
      <w:pPr>
        <w:pStyle w:val="Kop2"/>
        <w:numPr>
          <w:ilvl w:val="0"/>
          <w:numId w:val="0"/>
        </w:numPr>
        <w:spacing w:before="240" w:beforeAutospacing="0"/>
        <w:ind w:left="1008" w:hanging="576"/>
        <w:jc w:val="both"/>
        <w:rPr>
          <w:rFonts w:cstheme="minorHAnsi"/>
          <w:sz w:val="18"/>
        </w:rPr>
      </w:pPr>
      <w:r w:rsidRPr="00771736">
        <w:rPr>
          <w:rFonts w:cstheme="minorHAnsi"/>
          <w:sz w:val="18"/>
        </w:rPr>
        <w:t xml:space="preserve">De lidkaart is geldig tot en met het einde van het lopende kalenderjaar. </w:t>
      </w:r>
    </w:p>
    <w:p w:rsidR="000921B8" w:rsidRPr="00771736" w:rsidRDefault="000921B8" w:rsidP="00D66A7B">
      <w:pPr>
        <w:pStyle w:val="Kop1"/>
        <w:jc w:val="both"/>
        <w:rPr>
          <w:rFonts w:ascii="Verdana" w:hAnsi="Verdana" w:cstheme="minorHAnsi"/>
          <w:sz w:val="24"/>
          <w:szCs w:val="24"/>
        </w:rPr>
      </w:pPr>
      <w:r w:rsidRPr="00771736">
        <w:rPr>
          <w:rFonts w:ascii="Verdana" w:hAnsi="Verdana" w:cstheme="minorHAnsi"/>
          <w:sz w:val="24"/>
          <w:szCs w:val="24"/>
        </w:rPr>
        <w:t>Uitleenbepalingen</w:t>
      </w:r>
    </w:p>
    <w:p w:rsidR="00074790" w:rsidRPr="00771736" w:rsidRDefault="004F4F3A" w:rsidP="00FF01A7">
      <w:pPr>
        <w:pStyle w:val="Kop2"/>
        <w:numPr>
          <w:ilvl w:val="0"/>
          <w:numId w:val="0"/>
        </w:numPr>
        <w:spacing w:before="240" w:beforeAutospacing="0"/>
        <w:ind w:left="576" w:hanging="144"/>
        <w:jc w:val="both"/>
        <w:rPr>
          <w:sz w:val="18"/>
        </w:rPr>
      </w:pPr>
      <w:r w:rsidRPr="00771736">
        <w:rPr>
          <w:rFonts w:cstheme="minorHAnsi"/>
          <w:sz w:val="18"/>
        </w:rPr>
        <w:t>Heb je een lidkaart</w:t>
      </w:r>
      <w:r w:rsidR="008C7A7B" w:rsidRPr="00771736">
        <w:rPr>
          <w:sz w:val="18"/>
        </w:rPr>
        <w:t>,</w:t>
      </w:r>
      <w:r w:rsidRPr="00771736">
        <w:rPr>
          <w:sz w:val="18"/>
        </w:rPr>
        <w:t xml:space="preserve"> dan</w:t>
      </w:r>
      <w:r w:rsidR="008C7A7B" w:rsidRPr="00771736">
        <w:rPr>
          <w:sz w:val="18"/>
        </w:rPr>
        <w:t xml:space="preserve"> kan</w:t>
      </w:r>
      <w:r w:rsidRPr="00771736">
        <w:rPr>
          <w:sz w:val="18"/>
        </w:rPr>
        <w:t xml:space="preserve"> je</w:t>
      </w:r>
      <w:r w:rsidR="008C7A7B" w:rsidRPr="00771736">
        <w:rPr>
          <w:sz w:val="18"/>
        </w:rPr>
        <w:t xml:space="preserve"> gratis speelgoed ontlenen.</w:t>
      </w:r>
      <w:r w:rsidR="00FF01A7" w:rsidRPr="00771736">
        <w:rPr>
          <w:sz w:val="18"/>
        </w:rPr>
        <w:t xml:space="preserve"> 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1262"/>
        <w:gridCol w:w="2835"/>
        <w:gridCol w:w="1701"/>
        <w:gridCol w:w="2688"/>
      </w:tblGrid>
      <w:tr w:rsidR="00FF01A7" w:rsidRPr="00771736" w:rsidTr="000F7BAD">
        <w:tc>
          <w:tcPr>
            <w:tcW w:w="1262" w:type="dxa"/>
          </w:tcPr>
          <w:p w:rsidR="00D1363F" w:rsidRPr="00771736" w:rsidRDefault="00D1363F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</w:p>
        </w:tc>
        <w:tc>
          <w:tcPr>
            <w:tcW w:w="2835" w:type="dxa"/>
          </w:tcPr>
          <w:p w:rsidR="00D1363F" w:rsidRPr="00771736" w:rsidRDefault="00D1363F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Maximum aantal</w:t>
            </w:r>
          </w:p>
        </w:tc>
        <w:tc>
          <w:tcPr>
            <w:tcW w:w="1701" w:type="dxa"/>
          </w:tcPr>
          <w:p w:rsidR="00D1363F" w:rsidRPr="00771736" w:rsidRDefault="00D1363F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Uitleentermijn</w:t>
            </w:r>
          </w:p>
        </w:tc>
        <w:tc>
          <w:tcPr>
            <w:tcW w:w="2688" w:type="dxa"/>
          </w:tcPr>
          <w:p w:rsidR="00D1363F" w:rsidRPr="00771736" w:rsidRDefault="007C0773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B</w:t>
            </w:r>
            <w:r w:rsidR="00D1363F" w:rsidRPr="00771736">
              <w:rPr>
                <w:sz w:val="18"/>
              </w:rPr>
              <w:t>oete</w:t>
            </w:r>
            <w:r w:rsidRPr="00771736">
              <w:rPr>
                <w:sz w:val="18"/>
              </w:rPr>
              <w:t xml:space="preserve"> </w:t>
            </w:r>
          </w:p>
        </w:tc>
      </w:tr>
      <w:tr w:rsidR="00D1363F" w:rsidRPr="00771736" w:rsidTr="00D46824">
        <w:trPr>
          <w:trHeight w:val="1668"/>
        </w:trPr>
        <w:tc>
          <w:tcPr>
            <w:tcW w:w="1262" w:type="dxa"/>
          </w:tcPr>
          <w:p w:rsidR="00D1363F" w:rsidRPr="00771736" w:rsidRDefault="00D1363F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Speelgoed</w:t>
            </w:r>
          </w:p>
        </w:tc>
        <w:tc>
          <w:tcPr>
            <w:tcW w:w="2835" w:type="dxa"/>
          </w:tcPr>
          <w:p w:rsidR="00D1363F" w:rsidRPr="00771736" w:rsidRDefault="00F10911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Max. 3 stuks/</w:t>
            </w:r>
            <w:r w:rsidR="00D1363F" w:rsidRPr="00771736">
              <w:rPr>
                <w:sz w:val="18"/>
              </w:rPr>
              <w:t>kind</w:t>
            </w:r>
          </w:p>
          <w:p w:rsidR="00D1363F" w:rsidRPr="00771736" w:rsidRDefault="00F10911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Max. 10 stuks/</w:t>
            </w:r>
            <w:r w:rsidR="00D1363F" w:rsidRPr="00771736">
              <w:rPr>
                <w:sz w:val="18"/>
              </w:rPr>
              <w:t>gezin</w:t>
            </w:r>
          </w:p>
          <w:p w:rsidR="00D1363F" w:rsidRPr="00771736" w:rsidRDefault="00F10911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Max. 10 stuks/</w:t>
            </w:r>
            <w:r w:rsidR="00D1363F" w:rsidRPr="00771736">
              <w:rPr>
                <w:sz w:val="18"/>
              </w:rPr>
              <w:t>organisatie</w:t>
            </w:r>
          </w:p>
        </w:tc>
        <w:tc>
          <w:tcPr>
            <w:tcW w:w="1701" w:type="dxa"/>
          </w:tcPr>
          <w:p w:rsidR="00D1363F" w:rsidRPr="00771736" w:rsidRDefault="00D1363F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3 weken</w:t>
            </w:r>
          </w:p>
          <w:p w:rsidR="00F10911" w:rsidRPr="00771736" w:rsidRDefault="00F10911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3 weken</w:t>
            </w:r>
          </w:p>
          <w:p w:rsidR="00F10911" w:rsidRPr="00771736" w:rsidRDefault="00F10911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sz w:val="18"/>
              </w:rPr>
              <w:t>3 weken</w:t>
            </w:r>
          </w:p>
        </w:tc>
        <w:tc>
          <w:tcPr>
            <w:tcW w:w="2688" w:type="dxa"/>
          </w:tcPr>
          <w:p w:rsidR="00D1363F" w:rsidRPr="00771736" w:rsidRDefault="00F10911" w:rsidP="00D1363F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b/>
                <w:sz w:val="18"/>
              </w:rPr>
            </w:pPr>
            <w:r w:rsidRPr="00771736">
              <w:rPr>
                <w:b/>
                <w:sz w:val="18"/>
              </w:rPr>
              <w:t>€ 0,50/week/</w:t>
            </w:r>
            <w:r w:rsidR="007C0773" w:rsidRPr="00771736">
              <w:rPr>
                <w:b/>
                <w:sz w:val="18"/>
              </w:rPr>
              <w:t>eenheid</w:t>
            </w:r>
          </w:p>
          <w:p w:rsidR="007C0773" w:rsidRPr="00771736" w:rsidRDefault="00A94CE9" w:rsidP="007C0773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b/>
                <w:sz w:val="18"/>
              </w:rPr>
            </w:pPr>
            <w:r w:rsidRPr="00771736">
              <w:rPr>
                <w:b/>
                <w:sz w:val="18"/>
              </w:rPr>
              <w:t>€ 0,50/week/eenheid</w:t>
            </w:r>
          </w:p>
          <w:p w:rsidR="00D46824" w:rsidRPr="00771736" w:rsidRDefault="00A94CE9" w:rsidP="00D46824">
            <w:pPr>
              <w:pStyle w:val="Kop2"/>
              <w:numPr>
                <w:ilvl w:val="0"/>
                <w:numId w:val="0"/>
              </w:numPr>
              <w:spacing w:before="240" w:beforeAutospacing="0"/>
              <w:jc w:val="both"/>
              <w:outlineLvl w:val="1"/>
              <w:rPr>
                <w:sz w:val="18"/>
              </w:rPr>
            </w:pPr>
            <w:r w:rsidRPr="00771736">
              <w:rPr>
                <w:b/>
                <w:sz w:val="18"/>
              </w:rPr>
              <w:t>€ 0,50/week/eenheid</w:t>
            </w:r>
          </w:p>
        </w:tc>
      </w:tr>
    </w:tbl>
    <w:p w:rsidR="00883CFF" w:rsidRPr="00771736" w:rsidRDefault="000921B8" w:rsidP="00FF01A7">
      <w:pPr>
        <w:pStyle w:val="Kop2"/>
        <w:numPr>
          <w:ilvl w:val="0"/>
          <w:numId w:val="0"/>
        </w:numPr>
        <w:spacing w:before="240" w:beforeAutospacing="0"/>
        <w:ind w:left="576"/>
        <w:jc w:val="both"/>
        <w:rPr>
          <w:sz w:val="18"/>
        </w:rPr>
      </w:pPr>
      <w:r w:rsidRPr="00771736">
        <w:rPr>
          <w:sz w:val="18"/>
        </w:rPr>
        <w:t xml:space="preserve">Indien </w:t>
      </w:r>
      <w:r w:rsidR="004F4F3A" w:rsidRPr="00771736">
        <w:rPr>
          <w:sz w:val="18"/>
        </w:rPr>
        <w:t xml:space="preserve">je </w:t>
      </w:r>
      <w:r w:rsidRPr="00771736">
        <w:rPr>
          <w:sz w:val="18"/>
        </w:rPr>
        <w:t xml:space="preserve">het speelgoed na 2 maanden nog niet </w:t>
      </w:r>
      <w:r w:rsidR="004F4F3A" w:rsidRPr="00771736">
        <w:rPr>
          <w:sz w:val="18"/>
        </w:rPr>
        <w:t>hebt</w:t>
      </w:r>
      <w:r w:rsidRPr="00771736">
        <w:rPr>
          <w:sz w:val="18"/>
        </w:rPr>
        <w:t xml:space="preserve"> teruggebracht</w:t>
      </w:r>
      <w:r w:rsidR="004031B5" w:rsidRPr="00771736">
        <w:rPr>
          <w:sz w:val="18"/>
        </w:rPr>
        <w:t>,</w:t>
      </w:r>
      <w:r w:rsidRPr="00771736">
        <w:rPr>
          <w:sz w:val="18"/>
        </w:rPr>
        <w:t xml:space="preserve"> dan wordt het als verloren beschouwd. </w:t>
      </w:r>
      <w:r w:rsidR="004F4F3A" w:rsidRPr="00771736">
        <w:rPr>
          <w:sz w:val="18"/>
        </w:rPr>
        <w:t>Je</w:t>
      </w:r>
      <w:r w:rsidRPr="00771736">
        <w:rPr>
          <w:sz w:val="18"/>
        </w:rPr>
        <w:t xml:space="preserve"> betaalt dan de vervangingswaarde van het speelg</w:t>
      </w:r>
      <w:r w:rsidR="00D4530F" w:rsidRPr="00771736">
        <w:rPr>
          <w:sz w:val="18"/>
        </w:rPr>
        <w:t>oed.</w:t>
      </w:r>
      <w:r w:rsidR="00883CFF" w:rsidRPr="00771736">
        <w:rPr>
          <w:sz w:val="18"/>
        </w:rPr>
        <w:t xml:space="preserve"> </w:t>
      </w:r>
    </w:p>
    <w:p w:rsidR="008C7A7B" w:rsidRPr="00771736" w:rsidRDefault="008C7A7B" w:rsidP="007C0773">
      <w:pPr>
        <w:pStyle w:val="Kop2"/>
        <w:numPr>
          <w:ilvl w:val="0"/>
          <w:numId w:val="0"/>
        </w:numPr>
        <w:spacing w:before="240" w:beforeAutospacing="0"/>
        <w:ind w:left="576"/>
        <w:jc w:val="both"/>
        <w:rPr>
          <w:sz w:val="18"/>
        </w:rPr>
      </w:pPr>
      <w:r w:rsidRPr="00771736">
        <w:rPr>
          <w:sz w:val="18"/>
        </w:rPr>
        <w:t xml:space="preserve">Tot zolang bovenstaande </w:t>
      </w:r>
      <w:r w:rsidR="004031B5" w:rsidRPr="00771736">
        <w:rPr>
          <w:sz w:val="18"/>
        </w:rPr>
        <w:t>boetes</w:t>
      </w:r>
      <w:r w:rsidRPr="00771736">
        <w:rPr>
          <w:sz w:val="18"/>
        </w:rPr>
        <w:t xml:space="preserve"> niet betaald zijn, kan </w:t>
      </w:r>
      <w:r w:rsidR="004031B5" w:rsidRPr="00771736">
        <w:rPr>
          <w:sz w:val="18"/>
        </w:rPr>
        <w:t>je</w:t>
      </w:r>
      <w:r w:rsidRPr="00771736">
        <w:rPr>
          <w:sz w:val="18"/>
        </w:rPr>
        <w:t xml:space="preserve"> geen nieuw speelgoed ontlenen. </w:t>
      </w:r>
    </w:p>
    <w:p w:rsidR="000F7BAD" w:rsidRDefault="000F7BAD">
      <w:pPr>
        <w:rPr>
          <w:rFonts w:ascii="Verdana" w:eastAsiaTheme="majorEastAsia" w:hAnsi="Verdana" w:cstheme="minorHAnsi"/>
          <w:b/>
          <w:bCs/>
          <w:color w:val="365F91" w:themeColor="accent1" w:themeShade="BF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page"/>
      </w:r>
    </w:p>
    <w:p w:rsidR="00883CFF" w:rsidRDefault="008C7A7B" w:rsidP="00C243E7">
      <w:pPr>
        <w:pStyle w:val="Kop1"/>
        <w:rPr>
          <w:rFonts w:ascii="Verdana" w:hAnsi="Verdana" w:cstheme="minorHAnsi"/>
          <w:sz w:val="24"/>
          <w:szCs w:val="24"/>
        </w:rPr>
      </w:pPr>
      <w:r w:rsidRPr="00771736">
        <w:rPr>
          <w:rFonts w:ascii="Verdana" w:hAnsi="Verdana" w:cstheme="minorHAnsi"/>
          <w:sz w:val="24"/>
          <w:szCs w:val="24"/>
        </w:rPr>
        <w:lastRenderedPageBreak/>
        <w:t>Verloren of beschadigd speelgoed</w:t>
      </w:r>
    </w:p>
    <w:p w:rsidR="000F7BAD" w:rsidRPr="000F7BAD" w:rsidRDefault="000F7BAD" w:rsidP="000F7BAD"/>
    <w:tbl>
      <w:tblPr>
        <w:tblStyle w:val="Tabelraster"/>
        <w:tblW w:w="0" w:type="auto"/>
        <w:tblInd w:w="406" w:type="dxa"/>
        <w:tblLook w:val="04A0" w:firstRow="1" w:lastRow="0" w:firstColumn="1" w:lastColumn="0" w:noHBand="0" w:noVBand="1"/>
      </w:tblPr>
      <w:tblGrid>
        <w:gridCol w:w="4851"/>
        <w:gridCol w:w="3397"/>
      </w:tblGrid>
      <w:tr w:rsidR="00A61FEF" w:rsidRPr="00771736" w:rsidTr="000F7BAD">
        <w:trPr>
          <w:trHeight w:val="678"/>
        </w:trPr>
        <w:tc>
          <w:tcPr>
            <w:tcW w:w="4851" w:type="dxa"/>
          </w:tcPr>
          <w:p w:rsidR="00A61FEF" w:rsidRPr="00771736" w:rsidRDefault="000F7BAD" w:rsidP="000F7BAD">
            <w:pPr>
              <w:pStyle w:val="Normaal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A61FEF" w:rsidRPr="00771736">
              <w:rPr>
                <w:rFonts w:ascii="Verdana" w:hAnsi="Verdana"/>
                <w:color w:val="000000"/>
                <w:sz w:val="18"/>
                <w:szCs w:val="18"/>
              </w:rPr>
              <w:t>Te herstellen beschadigingen</w:t>
            </w:r>
          </w:p>
        </w:tc>
        <w:tc>
          <w:tcPr>
            <w:tcW w:w="3397" w:type="dxa"/>
          </w:tcPr>
          <w:p w:rsidR="00A61FEF" w:rsidRPr="00771736" w:rsidRDefault="000F7BAD" w:rsidP="000F7BAD">
            <w:pPr>
              <w:pStyle w:val="Normaal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A61FEF" w:rsidRPr="00771736">
              <w:rPr>
                <w:rFonts w:ascii="Verdana" w:hAnsi="Verdana"/>
                <w:color w:val="000000"/>
                <w:sz w:val="18"/>
                <w:szCs w:val="18"/>
              </w:rPr>
              <w:t>Herstellingskosten betalen</w:t>
            </w:r>
          </w:p>
        </w:tc>
      </w:tr>
      <w:tr w:rsidR="00A61FEF" w:rsidRPr="00771736" w:rsidTr="000F7BAD">
        <w:trPr>
          <w:trHeight w:val="330"/>
        </w:trPr>
        <w:tc>
          <w:tcPr>
            <w:tcW w:w="4851" w:type="dxa"/>
          </w:tcPr>
          <w:p w:rsidR="00A61FEF" w:rsidRPr="00771736" w:rsidRDefault="000F7BAD" w:rsidP="000F7BAD">
            <w:pPr>
              <w:pStyle w:val="Normaal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A94CE9" w:rsidRPr="00771736">
              <w:rPr>
                <w:rFonts w:ascii="Verdana" w:hAnsi="Verdana"/>
                <w:color w:val="000000"/>
                <w:sz w:val="18"/>
                <w:szCs w:val="18"/>
              </w:rPr>
              <w:t>Verloren/</w:t>
            </w:r>
            <w:r w:rsidR="00A61FEF" w:rsidRPr="00771736">
              <w:rPr>
                <w:rFonts w:ascii="Verdana" w:hAnsi="Verdana"/>
                <w:color w:val="000000"/>
                <w:sz w:val="18"/>
                <w:szCs w:val="18"/>
              </w:rPr>
              <w:t>gestolen</w:t>
            </w:r>
          </w:p>
        </w:tc>
        <w:tc>
          <w:tcPr>
            <w:tcW w:w="3397" w:type="dxa"/>
          </w:tcPr>
          <w:p w:rsidR="000F7BAD" w:rsidRPr="00771736" w:rsidRDefault="000F7BAD" w:rsidP="000F7BAD">
            <w:pPr>
              <w:pStyle w:val="Normaal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A94CE9" w:rsidRPr="00771736">
              <w:rPr>
                <w:rFonts w:ascii="Verdana" w:hAnsi="Verdana"/>
                <w:color w:val="000000"/>
                <w:sz w:val="18"/>
                <w:szCs w:val="18"/>
              </w:rPr>
              <w:t xml:space="preserve">Vervangingskosten </w:t>
            </w:r>
            <w:r w:rsidR="00A61FEF" w:rsidRPr="00771736">
              <w:rPr>
                <w:rFonts w:ascii="Verdana" w:hAnsi="Verdana"/>
                <w:color w:val="000000"/>
                <w:sz w:val="18"/>
                <w:szCs w:val="18"/>
              </w:rPr>
              <w:t xml:space="preserve">betalen: </w:t>
            </w:r>
            <w:r w:rsidR="00A61FEF" w:rsidRPr="00771736">
              <w:rPr>
                <w:rFonts w:ascii="Verdana" w:hAnsi="Verdana"/>
                <w:color w:val="000000"/>
                <w:sz w:val="18"/>
                <w:szCs w:val="18"/>
              </w:rPr>
              <w:br/>
              <w:t>het volledige aankoopbedrag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</w:p>
        </w:tc>
      </w:tr>
      <w:tr w:rsidR="00A61FEF" w:rsidRPr="00771736" w:rsidTr="000F7BAD">
        <w:trPr>
          <w:trHeight w:val="330"/>
        </w:trPr>
        <w:tc>
          <w:tcPr>
            <w:tcW w:w="4851" w:type="dxa"/>
          </w:tcPr>
          <w:p w:rsidR="00A61FEF" w:rsidRPr="00771736" w:rsidRDefault="000F7BAD" w:rsidP="000F7BAD">
            <w:pPr>
              <w:pStyle w:val="Normaal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00335A" w:rsidRPr="00771736">
              <w:rPr>
                <w:rFonts w:ascii="Verdana" w:hAnsi="Verdana"/>
                <w:color w:val="000000"/>
                <w:sz w:val="18"/>
                <w:szCs w:val="18"/>
              </w:rPr>
              <w:t>Grote schade aan het speelgoed dat niet meer te repareren valt, zodat het moet vervangen worden</w:t>
            </w:r>
          </w:p>
        </w:tc>
        <w:tc>
          <w:tcPr>
            <w:tcW w:w="3397" w:type="dxa"/>
          </w:tcPr>
          <w:p w:rsidR="000F7BAD" w:rsidRPr="00771736" w:rsidRDefault="000F7BAD" w:rsidP="000F7BAD">
            <w:pPr>
              <w:pStyle w:val="Normaal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A94CE9" w:rsidRPr="00771736">
              <w:rPr>
                <w:rFonts w:ascii="Verdana" w:hAnsi="Verdana"/>
                <w:color w:val="000000"/>
                <w:sz w:val="18"/>
                <w:szCs w:val="18"/>
              </w:rPr>
              <w:t xml:space="preserve">Vervangingskosten </w:t>
            </w:r>
            <w:r w:rsidR="0000335A" w:rsidRPr="00771736">
              <w:rPr>
                <w:rFonts w:ascii="Verdana" w:hAnsi="Verdana"/>
                <w:color w:val="000000"/>
                <w:sz w:val="18"/>
                <w:szCs w:val="18"/>
              </w:rPr>
              <w:t xml:space="preserve">betalen: </w:t>
            </w:r>
            <w:r w:rsidR="0000335A" w:rsidRPr="00771736">
              <w:rPr>
                <w:rFonts w:ascii="Verdana" w:hAnsi="Verdana"/>
                <w:color w:val="000000"/>
                <w:sz w:val="18"/>
                <w:szCs w:val="18"/>
              </w:rPr>
              <w:br/>
              <w:t>het volledige aankoopbedrag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</w:p>
        </w:tc>
      </w:tr>
    </w:tbl>
    <w:p w:rsidR="00771736" w:rsidRPr="00771736" w:rsidRDefault="00771736" w:rsidP="00771736">
      <w:pPr>
        <w:pStyle w:val="Kop1"/>
        <w:rPr>
          <w:rFonts w:ascii="Verdana" w:hAnsi="Verdana" w:cstheme="minorHAnsi"/>
          <w:sz w:val="24"/>
          <w:szCs w:val="24"/>
        </w:rPr>
      </w:pPr>
      <w:r w:rsidRPr="00771736">
        <w:rPr>
          <w:rFonts w:ascii="Verdana" w:hAnsi="Verdana" w:cstheme="minorHAnsi"/>
          <w:sz w:val="24"/>
          <w:szCs w:val="24"/>
        </w:rPr>
        <w:t>Administratieve kosten</w:t>
      </w:r>
    </w:p>
    <w:p w:rsidR="00771736" w:rsidRDefault="00842785" w:rsidP="00771736">
      <w:pPr>
        <w:pStyle w:val="Kop2"/>
        <w:numPr>
          <w:ilvl w:val="0"/>
          <w:numId w:val="0"/>
        </w:numPr>
        <w:spacing w:before="240" w:beforeAutospacing="0"/>
        <w:ind w:left="576"/>
        <w:jc w:val="both"/>
        <w:rPr>
          <w:sz w:val="18"/>
        </w:rPr>
      </w:pPr>
      <w:r>
        <w:rPr>
          <w:sz w:val="18"/>
        </w:rPr>
        <w:t>Let op bij niet-betaling worden er ook administratieve kosten aangerekend ingevolge het retributiereglement inzake de invorderingskosten van niet-fiscale ontvangsten, goedgekeurd op de G</w:t>
      </w:r>
      <w:r w:rsidR="00460365">
        <w:rPr>
          <w:sz w:val="18"/>
        </w:rPr>
        <w:t>emeenteraad</w:t>
      </w:r>
      <w:r>
        <w:rPr>
          <w:sz w:val="18"/>
        </w:rPr>
        <w:t xml:space="preserve"> van 14 december 2016.</w:t>
      </w:r>
    </w:p>
    <w:p w:rsidR="009F7236" w:rsidRDefault="009F7236" w:rsidP="00771736">
      <w:pPr>
        <w:pStyle w:val="Kop2"/>
        <w:numPr>
          <w:ilvl w:val="0"/>
          <w:numId w:val="0"/>
        </w:numPr>
        <w:spacing w:before="240" w:beforeAutospacing="0"/>
        <w:ind w:left="576"/>
        <w:jc w:val="both"/>
        <w:rPr>
          <w:sz w:val="18"/>
        </w:rPr>
      </w:pPr>
    </w:p>
    <w:p w:rsidR="00771736" w:rsidRPr="00771736" w:rsidRDefault="009F7236" w:rsidP="009F7236">
      <w:pPr>
        <w:pStyle w:val="Kop2"/>
        <w:numPr>
          <w:ilvl w:val="0"/>
          <w:numId w:val="0"/>
        </w:numPr>
        <w:spacing w:before="0" w:beforeAutospacing="0" w:after="0" w:afterAutospacing="0"/>
        <w:ind w:left="576" w:hanging="576"/>
        <w:jc w:val="both"/>
        <w:rPr>
          <w:sz w:val="18"/>
        </w:rPr>
      </w:pPr>
      <w:r>
        <w:rPr>
          <w:sz w:val="18"/>
        </w:rPr>
        <w:t>All</w:t>
      </w:r>
      <w:r w:rsidR="00D53B3C" w:rsidRPr="00771736">
        <w:rPr>
          <w:sz w:val="18"/>
        </w:rPr>
        <w:t xml:space="preserve">e tarieven die hierin werden vermeld, werden opgenomen in het retributiereglement van de </w:t>
      </w:r>
    </w:p>
    <w:p w:rsidR="00D53B3C" w:rsidRPr="00771736" w:rsidRDefault="001D6F89" w:rsidP="009F7236">
      <w:pPr>
        <w:pStyle w:val="Kop2"/>
        <w:numPr>
          <w:ilvl w:val="0"/>
          <w:numId w:val="0"/>
        </w:numPr>
        <w:spacing w:before="0" w:beforeAutospacing="0" w:after="0" w:afterAutospacing="0"/>
        <w:ind w:left="576" w:hanging="576"/>
        <w:jc w:val="both"/>
        <w:rPr>
          <w:sz w:val="18"/>
        </w:rPr>
      </w:pPr>
      <w:r>
        <w:rPr>
          <w:sz w:val="18"/>
        </w:rPr>
        <w:t>speelotheek</w:t>
      </w:r>
      <w:r w:rsidR="00D53B3C" w:rsidRPr="00771736">
        <w:rPr>
          <w:sz w:val="18"/>
        </w:rPr>
        <w:t xml:space="preserve">. Dit reglement werd </w:t>
      </w:r>
      <w:r w:rsidR="00D01B46">
        <w:rPr>
          <w:sz w:val="18"/>
        </w:rPr>
        <w:t>goedgekeurd</w:t>
      </w:r>
      <w:r w:rsidR="00D53B3C" w:rsidRPr="00771736">
        <w:rPr>
          <w:sz w:val="18"/>
        </w:rPr>
        <w:t xml:space="preserve"> op de gemeenteraad van </w:t>
      </w:r>
      <w:r w:rsidR="00F222C4" w:rsidRPr="00771736">
        <w:rPr>
          <w:sz w:val="18"/>
        </w:rPr>
        <w:t xml:space="preserve">24 mei </w:t>
      </w:r>
      <w:r w:rsidR="00892170" w:rsidRPr="00771736">
        <w:rPr>
          <w:sz w:val="18"/>
        </w:rPr>
        <w:t>2017.</w:t>
      </w:r>
    </w:p>
    <w:sectPr w:rsidR="00D53B3C" w:rsidRPr="00771736" w:rsidSect="000F7BAD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736" w:rsidRDefault="00771736" w:rsidP="00771736">
      <w:pPr>
        <w:spacing w:after="0" w:line="240" w:lineRule="auto"/>
      </w:pPr>
      <w:r>
        <w:separator/>
      </w:r>
    </w:p>
  </w:endnote>
  <w:endnote w:type="continuationSeparator" w:id="0">
    <w:p w:rsidR="00771736" w:rsidRDefault="00771736" w:rsidP="0077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736" w:rsidRDefault="00771736" w:rsidP="00771736">
      <w:pPr>
        <w:spacing w:after="0" w:line="240" w:lineRule="auto"/>
      </w:pPr>
      <w:r>
        <w:separator/>
      </w:r>
    </w:p>
  </w:footnote>
  <w:footnote w:type="continuationSeparator" w:id="0">
    <w:p w:rsidR="00771736" w:rsidRDefault="00771736" w:rsidP="0077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AD" w:rsidRDefault="00D46824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DB97F6" wp14:editId="24617A3B">
          <wp:simplePos x="0" y="0"/>
          <wp:positionH relativeFrom="column">
            <wp:posOffset>-42545</wp:posOffset>
          </wp:positionH>
          <wp:positionV relativeFrom="paragraph">
            <wp:posOffset>-212725</wp:posOffset>
          </wp:positionV>
          <wp:extent cx="1350645" cy="539750"/>
          <wp:effectExtent l="0" t="0" r="190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inove (extern gebruik) met overdruk met 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90E966" wp14:editId="7756D96D">
          <wp:simplePos x="0" y="0"/>
          <wp:positionH relativeFrom="column">
            <wp:posOffset>4453255</wp:posOffset>
          </wp:positionH>
          <wp:positionV relativeFrom="paragraph">
            <wp:posOffset>-212090</wp:posOffset>
          </wp:positionV>
          <wp:extent cx="1270000" cy="53975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lediens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E00F9A" wp14:editId="03C35B18">
          <wp:simplePos x="0" y="0"/>
          <wp:positionH relativeFrom="column">
            <wp:posOffset>2261870</wp:posOffset>
          </wp:positionH>
          <wp:positionV relativeFrom="paragraph">
            <wp:posOffset>-66675</wp:posOffset>
          </wp:positionV>
          <wp:extent cx="1352599" cy="396000"/>
          <wp:effectExtent l="0" t="0" r="0" b="444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CMW Ninove slagzi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99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A24"/>
    <w:multiLevelType w:val="hybridMultilevel"/>
    <w:tmpl w:val="7F902A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32CA6"/>
    <w:multiLevelType w:val="multilevel"/>
    <w:tmpl w:val="05B4055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>
    <w:nsid w:val="71E52A24"/>
    <w:multiLevelType w:val="hybridMultilevel"/>
    <w:tmpl w:val="BAFC0820"/>
    <w:lvl w:ilvl="0" w:tplc="0813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B8"/>
    <w:rsid w:val="0000335A"/>
    <w:rsid w:val="000402DA"/>
    <w:rsid w:val="00052EF3"/>
    <w:rsid w:val="00070608"/>
    <w:rsid w:val="00074790"/>
    <w:rsid w:val="000921B8"/>
    <w:rsid w:val="000954F9"/>
    <w:rsid w:val="000F4644"/>
    <w:rsid w:val="000F7BAD"/>
    <w:rsid w:val="00103D13"/>
    <w:rsid w:val="001229CF"/>
    <w:rsid w:val="0017092B"/>
    <w:rsid w:val="00180296"/>
    <w:rsid w:val="001940C2"/>
    <w:rsid w:val="001A65CB"/>
    <w:rsid w:val="001D6F89"/>
    <w:rsid w:val="001F3256"/>
    <w:rsid w:val="001F4407"/>
    <w:rsid w:val="00232DD6"/>
    <w:rsid w:val="0023711F"/>
    <w:rsid w:val="0025487E"/>
    <w:rsid w:val="00260F5C"/>
    <w:rsid w:val="00265CED"/>
    <w:rsid w:val="00267CFD"/>
    <w:rsid w:val="00294281"/>
    <w:rsid w:val="002958BF"/>
    <w:rsid w:val="00295C6C"/>
    <w:rsid w:val="002B1098"/>
    <w:rsid w:val="002C1BBE"/>
    <w:rsid w:val="002C4791"/>
    <w:rsid w:val="002C5B5B"/>
    <w:rsid w:val="002D67F3"/>
    <w:rsid w:val="002E6B51"/>
    <w:rsid w:val="002F2AAC"/>
    <w:rsid w:val="00313B3D"/>
    <w:rsid w:val="0032579C"/>
    <w:rsid w:val="00354C69"/>
    <w:rsid w:val="00362BCD"/>
    <w:rsid w:val="00370401"/>
    <w:rsid w:val="0038515B"/>
    <w:rsid w:val="003B3BE2"/>
    <w:rsid w:val="003D23AD"/>
    <w:rsid w:val="004031B5"/>
    <w:rsid w:val="0040480E"/>
    <w:rsid w:val="00417692"/>
    <w:rsid w:val="004265BC"/>
    <w:rsid w:val="004404E8"/>
    <w:rsid w:val="00460365"/>
    <w:rsid w:val="004664CD"/>
    <w:rsid w:val="00484EAF"/>
    <w:rsid w:val="004A702F"/>
    <w:rsid w:val="004F4F05"/>
    <w:rsid w:val="004F4F3A"/>
    <w:rsid w:val="004F78A9"/>
    <w:rsid w:val="005009C5"/>
    <w:rsid w:val="0052034C"/>
    <w:rsid w:val="00547AC9"/>
    <w:rsid w:val="00547EF1"/>
    <w:rsid w:val="00556AD8"/>
    <w:rsid w:val="005B0A77"/>
    <w:rsid w:val="005E2CCB"/>
    <w:rsid w:val="005E74C7"/>
    <w:rsid w:val="00644B75"/>
    <w:rsid w:val="0068501A"/>
    <w:rsid w:val="006952E3"/>
    <w:rsid w:val="006A15B5"/>
    <w:rsid w:val="006A5C28"/>
    <w:rsid w:val="006C0BE9"/>
    <w:rsid w:val="006E062D"/>
    <w:rsid w:val="006E7E5E"/>
    <w:rsid w:val="00706873"/>
    <w:rsid w:val="00717BA0"/>
    <w:rsid w:val="00737EC8"/>
    <w:rsid w:val="00763359"/>
    <w:rsid w:val="00771736"/>
    <w:rsid w:val="007727C5"/>
    <w:rsid w:val="00773843"/>
    <w:rsid w:val="00796EBA"/>
    <w:rsid w:val="007A1605"/>
    <w:rsid w:val="007A1AD2"/>
    <w:rsid w:val="007C0773"/>
    <w:rsid w:val="00800600"/>
    <w:rsid w:val="00806328"/>
    <w:rsid w:val="00813D29"/>
    <w:rsid w:val="00842785"/>
    <w:rsid w:val="00864689"/>
    <w:rsid w:val="008773A9"/>
    <w:rsid w:val="00883CFF"/>
    <w:rsid w:val="00892170"/>
    <w:rsid w:val="008B78CA"/>
    <w:rsid w:val="008C1140"/>
    <w:rsid w:val="008C7A7B"/>
    <w:rsid w:val="008F1C35"/>
    <w:rsid w:val="008F36A4"/>
    <w:rsid w:val="009232FC"/>
    <w:rsid w:val="009451D0"/>
    <w:rsid w:val="00965AAA"/>
    <w:rsid w:val="0097044D"/>
    <w:rsid w:val="00992EFF"/>
    <w:rsid w:val="009C0843"/>
    <w:rsid w:val="009F7236"/>
    <w:rsid w:val="009F7C23"/>
    <w:rsid w:val="00A01634"/>
    <w:rsid w:val="00A60338"/>
    <w:rsid w:val="00A61FEF"/>
    <w:rsid w:val="00A67C44"/>
    <w:rsid w:val="00A86BC4"/>
    <w:rsid w:val="00A94CE9"/>
    <w:rsid w:val="00AA2348"/>
    <w:rsid w:val="00AB1282"/>
    <w:rsid w:val="00AB4914"/>
    <w:rsid w:val="00AE55F9"/>
    <w:rsid w:val="00AE76ED"/>
    <w:rsid w:val="00AF1684"/>
    <w:rsid w:val="00AF276F"/>
    <w:rsid w:val="00B120DB"/>
    <w:rsid w:val="00B135C2"/>
    <w:rsid w:val="00B25260"/>
    <w:rsid w:val="00B5168E"/>
    <w:rsid w:val="00B7218C"/>
    <w:rsid w:val="00B96105"/>
    <w:rsid w:val="00BB18AD"/>
    <w:rsid w:val="00BB5EA0"/>
    <w:rsid w:val="00BC2AB0"/>
    <w:rsid w:val="00BC3183"/>
    <w:rsid w:val="00BD133A"/>
    <w:rsid w:val="00BD1E99"/>
    <w:rsid w:val="00BF72C0"/>
    <w:rsid w:val="00C02C13"/>
    <w:rsid w:val="00C17A36"/>
    <w:rsid w:val="00C243E7"/>
    <w:rsid w:val="00C255CC"/>
    <w:rsid w:val="00C300AA"/>
    <w:rsid w:val="00C353EE"/>
    <w:rsid w:val="00C51984"/>
    <w:rsid w:val="00C543D7"/>
    <w:rsid w:val="00C579C7"/>
    <w:rsid w:val="00C73B5F"/>
    <w:rsid w:val="00C74EF2"/>
    <w:rsid w:val="00C8420C"/>
    <w:rsid w:val="00C91CD2"/>
    <w:rsid w:val="00C9293F"/>
    <w:rsid w:val="00CE61F4"/>
    <w:rsid w:val="00D01B46"/>
    <w:rsid w:val="00D1363F"/>
    <w:rsid w:val="00D354F0"/>
    <w:rsid w:val="00D4530F"/>
    <w:rsid w:val="00D46824"/>
    <w:rsid w:val="00D53B3C"/>
    <w:rsid w:val="00D66A7B"/>
    <w:rsid w:val="00D742BC"/>
    <w:rsid w:val="00DC4F74"/>
    <w:rsid w:val="00E2739D"/>
    <w:rsid w:val="00E50D5A"/>
    <w:rsid w:val="00E75FEE"/>
    <w:rsid w:val="00E763A6"/>
    <w:rsid w:val="00EA4E2F"/>
    <w:rsid w:val="00EA4F94"/>
    <w:rsid w:val="00EA572D"/>
    <w:rsid w:val="00EB4CCF"/>
    <w:rsid w:val="00EB58AA"/>
    <w:rsid w:val="00EC0CD4"/>
    <w:rsid w:val="00EF2E3E"/>
    <w:rsid w:val="00F10911"/>
    <w:rsid w:val="00F10936"/>
    <w:rsid w:val="00F20350"/>
    <w:rsid w:val="00F222C4"/>
    <w:rsid w:val="00F463FC"/>
    <w:rsid w:val="00F53DEB"/>
    <w:rsid w:val="00F91172"/>
    <w:rsid w:val="00FA6EE0"/>
    <w:rsid w:val="00FB3DCD"/>
    <w:rsid w:val="00FC4E62"/>
    <w:rsid w:val="00FC5B00"/>
    <w:rsid w:val="00FD0E11"/>
    <w:rsid w:val="00FF01A7"/>
    <w:rsid w:val="00FF1846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C6497D7-5623-4DF8-8F4C-6BBA1C09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10936"/>
  </w:style>
  <w:style w:type="paragraph" w:styleId="Kop1">
    <w:name w:val="heading 1"/>
    <w:basedOn w:val="Standaard"/>
    <w:next w:val="Standaard"/>
    <w:link w:val="Kop1Char"/>
    <w:uiPriority w:val="9"/>
    <w:qFormat/>
    <w:rsid w:val="005B0A7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C243E7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Cs/>
      <w:sz w:val="20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3E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43E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3E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43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43E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43E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43E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21B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C243E7"/>
    <w:rPr>
      <w:rFonts w:ascii="Verdana" w:eastAsia="Times New Roman" w:hAnsi="Verdana" w:cs="Times New Roman"/>
      <w:bCs/>
      <w:sz w:val="20"/>
      <w:szCs w:val="36"/>
    </w:rPr>
  </w:style>
  <w:style w:type="paragraph" w:styleId="Normaalweb">
    <w:name w:val="Normal (Web)"/>
    <w:basedOn w:val="Standaard"/>
    <w:uiPriority w:val="99"/>
    <w:unhideWhenUsed/>
    <w:rsid w:val="00C5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5B0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link w:val="TitelChar"/>
    <w:qFormat/>
    <w:rsid w:val="005B0A77"/>
    <w:pPr>
      <w:tabs>
        <w:tab w:val="left" w:pos="-1440"/>
        <w:tab w:val="left" w:pos="-720"/>
      </w:tabs>
      <w:suppressAutoHyphens/>
      <w:spacing w:after="0" w:line="240" w:lineRule="auto"/>
      <w:jc w:val="center"/>
    </w:pPr>
    <w:rPr>
      <w:rFonts w:ascii="Univers" w:eastAsia="Times New Roman" w:hAnsi="Univers" w:cs="Times New Roman"/>
      <w:b/>
      <w:spacing w:val="-3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rsid w:val="005B0A77"/>
    <w:rPr>
      <w:rFonts w:ascii="Univers" w:eastAsia="Times New Roman" w:hAnsi="Univers" w:cs="Times New Roman"/>
      <w:b/>
      <w:spacing w:val="-3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C243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C243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3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43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43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43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43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lattetekst">
    <w:name w:val="Body Text"/>
    <w:basedOn w:val="Standaard"/>
    <w:link w:val="PlattetekstChar"/>
    <w:semiHidden/>
    <w:rsid w:val="001229CF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1229CF"/>
    <w:rPr>
      <w:rFonts w:ascii="Tahoma" w:eastAsia="Times New Roman" w:hAnsi="Tahoma" w:cs="Times New Roman"/>
      <w:sz w:val="24"/>
      <w:szCs w:val="20"/>
      <w:lang w:eastAsia="nl-NL"/>
    </w:rPr>
  </w:style>
  <w:style w:type="table" w:styleId="Tabelraster">
    <w:name w:val="Table Grid"/>
    <w:basedOn w:val="Standaardtabel"/>
    <w:uiPriority w:val="59"/>
    <w:rsid w:val="00D13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73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73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71736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771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1736"/>
  </w:style>
  <w:style w:type="paragraph" w:styleId="Voettekst">
    <w:name w:val="footer"/>
    <w:basedOn w:val="Standaard"/>
    <w:link w:val="VoettekstChar"/>
    <w:uiPriority w:val="99"/>
    <w:unhideWhenUsed/>
    <w:rsid w:val="00771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1736"/>
  </w:style>
  <w:style w:type="paragraph" w:styleId="Ballontekst">
    <w:name w:val="Balloon Text"/>
    <w:basedOn w:val="Standaard"/>
    <w:link w:val="BallontekstChar"/>
    <w:uiPriority w:val="99"/>
    <w:semiHidden/>
    <w:unhideWhenUsed/>
    <w:rsid w:val="001D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A3C0B-764F-48E3-888B-B57F0CBA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svh</dc:creator>
  <cp:lastModifiedBy>Van den Brande Lien</cp:lastModifiedBy>
  <cp:revision>13</cp:revision>
  <cp:lastPrinted>2017-09-17T09:30:00Z</cp:lastPrinted>
  <dcterms:created xsi:type="dcterms:W3CDTF">2017-05-10T13:00:00Z</dcterms:created>
  <dcterms:modified xsi:type="dcterms:W3CDTF">2017-10-02T15:59:00Z</dcterms:modified>
</cp:coreProperties>
</file>