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46" w:rsidRPr="007F56B3" w:rsidRDefault="0034367B" w:rsidP="004B39D5">
      <w:pPr>
        <w:jc w:val="center"/>
        <w:rPr>
          <w:rFonts w:ascii="Verdana" w:hAnsi="Verdana"/>
          <w:sz w:val="32"/>
          <w:szCs w:val="32"/>
        </w:rPr>
      </w:pPr>
      <w:r w:rsidRPr="007F56B3">
        <w:rPr>
          <w:rFonts w:ascii="Verdana" w:hAnsi="Verdana"/>
          <w:sz w:val="32"/>
          <w:szCs w:val="32"/>
        </w:rPr>
        <w:t xml:space="preserve">Toewijzingsreglement </w:t>
      </w:r>
      <w:r w:rsidR="004B39D5" w:rsidRPr="007F56B3">
        <w:rPr>
          <w:rFonts w:ascii="Verdana" w:hAnsi="Verdana"/>
          <w:sz w:val="32"/>
          <w:szCs w:val="32"/>
        </w:rPr>
        <w:t>voor</w:t>
      </w:r>
      <w:r w:rsidR="006D517B" w:rsidRPr="007F56B3">
        <w:rPr>
          <w:rFonts w:ascii="Verdana" w:hAnsi="Verdana"/>
          <w:sz w:val="32"/>
          <w:szCs w:val="32"/>
        </w:rPr>
        <w:t xml:space="preserve"> sociale huisvesting voor</w:t>
      </w:r>
      <w:r w:rsidR="004B39D5" w:rsidRPr="007F56B3">
        <w:rPr>
          <w:rFonts w:ascii="Verdana" w:hAnsi="Verdana"/>
          <w:sz w:val="32"/>
          <w:szCs w:val="32"/>
        </w:rPr>
        <w:t xml:space="preserve"> </w:t>
      </w:r>
      <w:r w:rsidR="006D517B" w:rsidRPr="007F56B3">
        <w:rPr>
          <w:rFonts w:ascii="Verdana" w:hAnsi="Verdana"/>
          <w:sz w:val="32"/>
          <w:szCs w:val="32"/>
        </w:rPr>
        <w:t>65+</w:t>
      </w:r>
      <w:r w:rsidRPr="007F56B3">
        <w:rPr>
          <w:rFonts w:ascii="Verdana" w:hAnsi="Verdana"/>
          <w:sz w:val="32"/>
          <w:szCs w:val="32"/>
        </w:rPr>
        <w:t xml:space="preserve"> </w:t>
      </w:r>
    </w:p>
    <w:p w:rsidR="006D517B" w:rsidRPr="007F56B3" w:rsidRDefault="002D4A66" w:rsidP="004B39D5">
      <w:pPr>
        <w:jc w:val="center"/>
        <w:rPr>
          <w:rFonts w:ascii="Verdana" w:hAnsi="Verdana"/>
          <w:sz w:val="32"/>
          <w:szCs w:val="32"/>
        </w:rPr>
      </w:pPr>
      <w:r w:rsidRPr="007F56B3">
        <w:rPr>
          <w:rFonts w:ascii="Verdana" w:hAnsi="Verdana"/>
          <w:sz w:val="32"/>
          <w:szCs w:val="32"/>
        </w:rPr>
        <w:t xml:space="preserve"> Grondgebied </w:t>
      </w:r>
      <w:r w:rsidR="006D517B" w:rsidRPr="007F56B3">
        <w:rPr>
          <w:rFonts w:ascii="Verdana" w:hAnsi="Verdana"/>
          <w:sz w:val="32"/>
          <w:szCs w:val="32"/>
        </w:rPr>
        <w:t>Stad Ninove</w:t>
      </w:r>
    </w:p>
    <w:p w:rsidR="0034367B" w:rsidRPr="007F56B3" w:rsidRDefault="0034367B">
      <w:pPr>
        <w:rPr>
          <w:rFonts w:ascii="Verdana" w:hAnsi="Verdana"/>
          <w:lang w:val="nl-BE"/>
        </w:rPr>
      </w:pPr>
    </w:p>
    <w:p w:rsidR="006D517B" w:rsidRPr="007F56B3" w:rsidRDefault="006D517B">
      <w:pPr>
        <w:rPr>
          <w:rFonts w:ascii="Verdana" w:hAnsi="Verdana"/>
          <w:lang w:val="nl-BE"/>
        </w:rPr>
      </w:pPr>
    </w:p>
    <w:p w:rsidR="0034367B" w:rsidRPr="007F56B3" w:rsidRDefault="00814C46" w:rsidP="00823F77">
      <w:pPr>
        <w:outlineLvl w:val="0"/>
        <w:rPr>
          <w:rFonts w:ascii="Verdana" w:hAnsi="Verdana"/>
          <w:i/>
          <w:sz w:val="28"/>
          <w:szCs w:val="28"/>
          <w:u w:val="single"/>
        </w:rPr>
      </w:pPr>
      <w:r w:rsidRPr="007F56B3">
        <w:rPr>
          <w:rFonts w:ascii="Verdana" w:hAnsi="Verdana"/>
          <w:i/>
          <w:sz w:val="28"/>
          <w:szCs w:val="28"/>
          <w:u w:val="single"/>
        </w:rPr>
        <w:t>Inleiding</w:t>
      </w:r>
    </w:p>
    <w:p w:rsidR="0034367B" w:rsidRPr="007F56B3" w:rsidRDefault="0034367B">
      <w:pPr>
        <w:rPr>
          <w:rFonts w:ascii="Verdana" w:hAnsi="Verdana"/>
        </w:rPr>
      </w:pPr>
    </w:p>
    <w:p w:rsidR="0034367B" w:rsidRPr="007F56B3" w:rsidRDefault="00D92962" w:rsidP="004B39D5">
      <w:pPr>
        <w:rPr>
          <w:rFonts w:ascii="Verdana" w:hAnsi="Verdana"/>
        </w:rPr>
      </w:pPr>
      <w:r w:rsidRPr="007F56B3">
        <w:rPr>
          <w:rFonts w:ascii="Verdana" w:hAnsi="Verdana"/>
        </w:rPr>
        <w:t>Ninove</w:t>
      </w:r>
      <w:r w:rsidR="0034367B" w:rsidRPr="007F56B3">
        <w:rPr>
          <w:rFonts w:ascii="Verdana" w:hAnsi="Verdana"/>
        </w:rPr>
        <w:t xml:space="preserve"> kiest voor een lokaal toewijzingsreglement dat voorrang geeft aan ouderen vanaf 65 jaar bij de </w:t>
      </w:r>
      <w:r w:rsidR="00BC6E4C" w:rsidRPr="007F56B3">
        <w:rPr>
          <w:rFonts w:ascii="Verdana" w:hAnsi="Verdana"/>
        </w:rPr>
        <w:t xml:space="preserve">toewijzing van </w:t>
      </w:r>
      <w:r w:rsidR="004B39D5" w:rsidRPr="007F56B3">
        <w:rPr>
          <w:rFonts w:ascii="Verdana" w:hAnsi="Verdana"/>
        </w:rPr>
        <w:t>een beperkt aantal</w:t>
      </w:r>
      <w:r w:rsidR="0034367B" w:rsidRPr="007F56B3">
        <w:rPr>
          <w:rFonts w:ascii="Verdana" w:hAnsi="Verdana"/>
        </w:rPr>
        <w:t xml:space="preserve"> sociale huurwoningen</w:t>
      </w:r>
      <w:r w:rsidR="00814C46" w:rsidRPr="007F56B3">
        <w:rPr>
          <w:rFonts w:ascii="Verdana" w:hAnsi="Verdana"/>
        </w:rPr>
        <w:t xml:space="preserve"> in de gemeente</w:t>
      </w:r>
      <w:r w:rsidR="0034367B" w:rsidRPr="007F56B3">
        <w:rPr>
          <w:rFonts w:ascii="Verdana" w:hAnsi="Verdana"/>
        </w:rPr>
        <w:t>.</w:t>
      </w:r>
    </w:p>
    <w:p w:rsidR="0034367B" w:rsidRPr="007F56B3" w:rsidRDefault="0034367B">
      <w:pPr>
        <w:rPr>
          <w:rFonts w:ascii="Verdana" w:hAnsi="Verdana"/>
        </w:rPr>
      </w:pPr>
    </w:p>
    <w:p w:rsidR="0034367B" w:rsidRPr="007F56B3" w:rsidRDefault="004B39D5" w:rsidP="00F30AEC">
      <w:pPr>
        <w:rPr>
          <w:rFonts w:ascii="Verdana" w:hAnsi="Verdana"/>
        </w:rPr>
      </w:pPr>
      <w:r w:rsidRPr="007F56B3">
        <w:rPr>
          <w:rFonts w:ascii="Verdana" w:hAnsi="Verdana"/>
        </w:rPr>
        <w:t xml:space="preserve">Het </w:t>
      </w:r>
      <w:r w:rsidR="00814C46" w:rsidRPr="007F56B3">
        <w:rPr>
          <w:rFonts w:ascii="Verdana" w:hAnsi="Verdana"/>
        </w:rPr>
        <w:t xml:space="preserve">toewijzingsreglement </w:t>
      </w:r>
      <w:r w:rsidRPr="007F56B3">
        <w:rPr>
          <w:rFonts w:ascii="Verdana" w:hAnsi="Verdana"/>
        </w:rPr>
        <w:t xml:space="preserve">blijft </w:t>
      </w:r>
      <w:r w:rsidR="00814C46" w:rsidRPr="007F56B3">
        <w:rPr>
          <w:rFonts w:ascii="Verdana" w:hAnsi="Verdana"/>
        </w:rPr>
        <w:t xml:space="preserve">binnen de grenzen van de Omzendbrief </w:t>
      </w:r>
      <w:r w:rsidR="00352B19" w:rsidRPr="007F56B3">
        <w:rPr>
          <w:rFonts w:ascii="Verdana" w:hAnsi="Verdana"/>
        </w:rPr>
        <w:t>“</w:t>
      </w:r>
      <w:r w:rsidR="00814C46" w:rsidRPr="007F56B3">
        <w:rPr>
          <w:rFonts w:ascii="Verdana" w:hAnsi="Verdana"/>
        </w:rPr>
        <w:t>betreffende de opmaak van een lokaal toewijzingsreglement voor ouderen</w:t>
      </w:r>
      <w:r w:rsidR="00352B19" w:rsidRPr="007F56B3">
        <w:rPr>
          <w:rFonts w:ascii="Verdana" w:hAnsi="Verdana"/>
        </w:rPr>
        <w:t>”</w:t>
      </w:r>
      <w:r w:rsidR="00B02935" w:rsidRPr="007F56B3">
        <w:rPr>
          <w:rFonts w:ascii="Verdana" w:hAnsi="Verdana"/>
        </w:rPr>
        <w:t xml:space="preserve"> (</w:t>
      </w:r>
      <w:r w:rsidR="00C46177" w:rsidRPr="007F56B3">
        <w:rPr>
          <w:rFonts w:ascii="Verdana" w:hAnsi="Verdana"/>
        </w:rPr>
        <w:t>Omzendbrief</w:t>
      </w:r>
      <w:r w:rsidR="00F30AEC" w:rsidRPr="007F56B3">
        <w:rPr>
          <w:rFonts w:ascii="Verdana" w:hAnsi="Verdana"/>
        </w:rPr>
        <w:t xml:space="preserve"> W/2014/01 van 23 januari </w:t>
      </w:r>
      <w:r w:rsidR="00B02935" w:rsidRPr="007F56B3">
        <w:rPr>
          <w:rFonts w:ascii="Verdana" w:hAnsi="Verdana"/>
        </w:rPr>
        <w:t>2014</w:t>
      </w:r>
      <w:r w:rsidRPr="007F56B3">
        <w:rPr>
          <w:rFonts w:ascii="Verdana" w:hAnsi="Verdana"/>
        </w:rPr>
        <w:t xml:space="preserve">) en volgt </w:t>
      </w:r>
      <w:r w:rsidR="00F30AEC" w:rsidRPr="007F56B3">
        <w:rPr>
          <w:rFonts w:ascii="Verdana" w:hAnsi="Verdana"/>
        </w:rPr>
        <w:t xml:space="preserve">bij de opmaak de </w:t>
      </w:r>
      <w:r w:rsidRPr="007F56B3">
        <w:rPr>
          <w:rFonts w:ascii="Verdana" w:hAnsi="Verdana"/>
        </w:rPr>
        <w:t>vereenvoudigde procedure</w:t>
      </w:r>
      <w:r w:rsidR="006D517B" w:rsidRPr="007F56B3">
        <w:rPr>
          <w:rFonts w:ascii="Verdana" w:hAnsi="Verdana"/>
        </w:rPr>
        <w:t>.</w:t>
      </w:r>
    </w:p>
    <w:p w:rsidR="0034367B" w:rsidRPr="007F56B3" w:rsidRDefault="0034367B">
      <w:pPr>
        <w:rPr>
          <w:rFonts w:ascii="Verdana" w:hAnsi="Verdana"/>
        </w:rPr>
      </w:pPr>
    </w:p>
    <w:p w:rsidR="0034367B" w:rsidRPr="007F56B3" w:rsidRDefault="0034367B" w:rsidP="00F30AEC">
      <w:pPr>
        <w:rPr>
          <w:rFonts w:ascii="Verdana" w:hAnsi="Verdana"/>
        </w:rPr>
      </w:pPr>
      <w:r w:rsidRPr="007F56B3">
        <w:rPr>
          <w:rFonts w:ascii="Verdana" w:hAnsi="Verdana"/>
        </w:rPr>
        <w:t>Het college van b</w:t>
      </w:r>
      <w:r w:rsidR="006D517B" w:rsidRPr="007F56B3">
        <w:rPr>
          <w:rFonts w:ascii="Verdana" w:hAnsi="Verdana"/>
        </w:rPr>
        <w:t>urgemeester en schepenen nam op 13 november 2014</w:t>
      </w:r>
      <w:r w:rsidR="009C0010" w:rsidRPr="007F56B3">
        <w:rPr>
          <w:rFonts w:ascii="Verdana" w:hAnsi="Verdana"/>
        </w:rPr>
        <w:t xml:space="preserve"> </w:t>
      </w:r>
      <w:r w:rsidR="002D4A66" w:rsidRPr="007F56B3">
        <w:rPr>
          <w:rFonts w:ascii="Verdana" w:hAnsi="Verdana"/>
        </w:rPr>
        <w:t>het besluit</w:t>
      </w:r>
      <w:r w:rsidRPr="007F56B3">
        <w:rPr>
          <w:rFonts w:ascii="Verdana" w:hAnsi="Verdana"/>
        </w:rPr>
        <w:t xml:space="preserve"> om </w:t>
      </w:r>
      <w:r w:rsidR="00814C46" w:rsidRPr="007F56B3">
        <w:rPr>
          <w:rFonts w:ascii="Verdana" w:hAnsi="Verdana"/>
        </w:rPr>
        <w:t>een lokaal toewijzingsreglement op te maken en legde daarin de procedure vast (</w:t>
      </w:r>
      <w:r w:rsidR="00CF77C3" w:rsidRPr="007F56B3">
        <w:rPr>
          <w:rFonts w:ascii="Verdana" w:hAnsi="Verdana"/>
        </w:rPr>
        <w:t xml:space="preserve">gemeentelijke </w:t>
      </w:r>
      <w:r w:rsidR="00814C46" w:rsidRPr="007F56B3">
        <w:rPr>
          <w:rFonts w:ascii="Verdana" w:hAnsi="Verdana"/>
        </w:rPr>
        <w:t>beslissing in de zin van art. 26, §2, 2</w:t>
      </w:r>
      <w:r w:rsidR="00814C46" w:rsidRPr="007F56B3">
        <w:rPr>
          <w:rFonts w:ascii="Verdana" w:hAnsi="Verdana"/>
          <w:vertAlign w:val="superscript"/>
        </w:rPr>
        <w:t>e</w:t>
      </w:r>
      <w:r w:rsidR="00814C46" w:rsidRPr="007F56B3">
        <w:rPr>
          <w:rFonts w:ascii="Verdana" w:hAnsi="Verdana"/>
        </w:rPr>
        <w:t xml:space="preserve"> lid, 1° van het Sociaal Hu</w:t>
      </w:r>
      <w:r w:rsidR="00F30AEC" w:rsidRPr="007F56B3">
        <w:rPr>
          <w:rFonts w:ascii="Verdana" w:hAnsi="Verdana"/>
        </w:rPr>
        <w:t xml:space="preserve">urbesluit van 12 oktober </w:t>
      </w:r>
      <w:r w:rsidR="00814C46" w:rsidRPr="007F56B3">
        <w:rPr>
          <w:rFonts w:ascii="Verdana" w:hAnsi="Verdana"/>
        </w:rPr>
        <w:t>2007</w:t>
      </w:r>
      <w:r w:rsidR="00EC13DC" w:rsidRPr="007F56B3">
        <w:rPr>
          <w:rFonts w:ascii="Verdana" w:hAnsi="Verdana"/>
        </w:rPr>
        <w:t xml:space="preserve"> zoals gewijzigd door het Besluit van de Vlaamse Regering van 30.09.2011</w:t>
      </w:r>
      <w:r w:rsidR="00814C46" w:rsidRPr="007F56B3">
        <w:rPr>
          <w:rFonts w:ascii="Verdana" w:hAnsi="Verdana"/>
        </w:rPr>
        <w:t>).</w:t>
      </w:r>
    </w:p>
    <w:p w:rsidR="002D4A66" w:rsidRPr="007F56B3" w:rsidRDefault="002D4A66" w:rsidP="00F30AEC">
      <w:pPr>
        <w:rPr>
          <w:rFonts w:ascii="Verdana" w:hAnsi="Verdana"/>
        </w:rPr>
      </w:pPr>
    </w:p>
    <w:p w:rsidR="002D4A66" w:rsidRPr="007F56B3" w:rsidRDefault="002D4A66" w:rsidP="00F30AEC">
      <w:pPr>
        <w:rPr>
          <w:rFonts w:ascii="Verdana" w:hAnsi="Verdana"/>
        </w:rPr>
      </w:pPr>
      <w:r w:rsidRPr="007F56B3">
        <w:rPr>
          <w:rFonts w:ascii="Verdana" w:hAnsi="Verdana"/>
        </w:rPr>
        <w:t>Er is geopteerd om een lokaal toewijzingsreglement op te maken dat voorrang geeft aan ouderen vanaf 65 jaar.</w:t>
      </w:r>
    </w:p>
    <w:p w:rsidR="002D4A66" w:rsidRPr="007F56B3" w:rsidRDefault="002D4A66" w:rsidP="00F30AEC">
      <w:pPr>
        <w:rPr>
          <w:rFonts w:ascii="Verdana" w:hAnsi="Verdana"/>
        </w:rPr>
      </w:pPr>
      <w:r w:rsidRPr="007F56B3">
        <w:rPr>
          <w:rFonts w:ascii="Verdana" w:hAnsi="Verdana"/>
        </w:rPr>
        <w:t>De vraag tot opmaak van dit toewijzingsreglement is ontstaan bij het lokaal woonoverleg in Ninove op 24 oktober 2014 (zie bijlage lokaal woonoverleg als bijlage).</w:t>
      </w:r>
    </w:p>
    <w:p w:rsidR="002D4A66" w:rsidRPr="007F56B3" w:rsidRDefault="002D4A66" w:rsidP="00F30AEC">
      <w:pPr>
        <w:rPr>
          <w:rFonts w:ascii="Verdana" w:hAnsi="Verdana"/>
        </w:rPr>
      </w:pPr>
    </w:p>
    <w:p w:rsidR="002D4A66" w:rsidRPr="007F56B3" w:rsidRDefault="002D4A66" w:rsidP="00F30AEC">
      <w:pPr>
        <w:rPr>
          <w:rFonts w:ascii="Verdana" w:hAnsi="Verdana"/>
        </w:rPr>
      </w:pPr>
      <w:r w:rsidRPr="007F56B3">
        <w:rPr>
          <w:rFonts w:ascii="Verdana" w:hAnsi="Verdana"/>
        </w:rPr>
        <w:t xml:space="preserve">Op basis van het collegebesluit en het voorstel van het lokaal woonoverleg, is een ontwerp tot lokaal toewijzingsreglement tot stand gekomen. </w:t>
      </w:r>
    </w:p>
    <w:p w:rsidR="00814C46" w:rsidRPr="007F56B3" w:rsidRDefault="00814C46">
      <w:pPr>
        <w:rPr>
          <w:rFonts w:ascii="Verdana" w:hAnsi="Verdana"/>
        </w:rPr>
      </w:pPr>
    </w:p>
    <w:p w:rsidR="00814C46" w:rsidRPr="007F56B3" w:rsidRDefault="008D36CC" w:rsidP="00F30AEC">
      <w:pPr>
        <w:rPr>
          <w:rFonts w:ascii="Verdana" w:hAnsi="Verdana"/>
        </w:rPr>
      </w:pPr>
      <w:r w:rsidRPr="007F56B3">
        <w:rPr>
          <w:rFonts w:ascii="Verdana" w:hAnsi="Verdana"/>
        </w:rPr>
        <w:t xml:space="preserve">Het reglement is positief geadviseerd door alle deelnemers van </w:t>
      </w:r>
      <w:bookmarkStart w:id="0" w:name="_GoBack"/>
      <w:bookmarkEnd w:id="0"/>
      <w:r w:rsidRPr="007F56B3">
        <w:rPr>
          <w:rFonts w:ascii="Verdana" w:hAnsi="Verdana"/>
        </w:rPr>
        <w:t>het woonoverleg</w:t>
      </w:r>
      <w:r w:rsidR="00F30AEC" w:rsidRPr="007F56B3">
        <w:rPr>
          <w:rFonts w:ascii="Verdana" w:hAnsi="Verdana"/>
        </w:rPr>
        <w:t xml:space="preserve"> op </w:t>
      </w:r>
      <w:r w:rsidR="00EC1370" w:rsidRPr="00932CAF">
        <w:rPr>
          <w:rFonts w:ascii="Verdana" w:hAnsi="Verdana"/>
        </w:rPr>
        <w:t xml:space="preserve">9 oktober </w:t>
      </w:r>
      <w:r w:rsidR="00F30AEC" w:rsidRPr="00932CAF">
        <w:rPr>
          <w:rFonts w:ascii="Verdana" w:hAnsi="Verdana"/>
        </w:rPr>
        <w:t>201</w:t>
      </w:r>
      <w:r w:rsidR="000B185C" w:rsidRPr="00932CAF">
        <w:rPr>
          <w:rFonts w:ascii="Verdana" w:hAnsi="Verdana"/>
        </w:rPr>
        <w:t>5</w:t>
      </w:r>
      <w:r w:rsidR="007D111B" w:rsidRPr="007F56B3">
        <w:rPr>
          <w:rFonts w:ascii="Verdana" w:hAnsi="Verdana"/>
        </w:rPr>
        <w:t xml:space="preserve"> (gemeente, O</w:t>
      </w:r>
      <w:r w:rsidR="009C0010" w:rsidRPr="007F56B3">
        <w:rPr>
          <w:rFonts w:ascii="Verdana" w:hAnsi="Verdana"/>
        </w:rPr>
        <w:t>CMW</w:t>
      </w:r>
      <w:r w:rsidR="00EC1370" w:rsidRPr="007F56B3">
        <w:rPr>
          <w:rFonts w:ascii="Verdana" w:hAnsi="Verdana"/>
        </w:rPr>
        <w:t xml:space="preserve"> Ninove</w:t>
      </w:r>
      <w:r w:rsidR="009C0010" w:rsidRPr="007F56B3">
        <w:rPr>
          <w:rFonts w:ascii="Verdana" w:hAnsi="Verdana"/>
        </w:rPr>
        <w:t>,</w:t>
      </w:r>
      <w:r w:rsidR="007D111B" w:rsidRPr="007F56B3">
        <w:rPr>
          <w:rFonts w:ascii="Verdana" w:hAnsi="Verdana"/>
        </w:rPr>
        <w:t xml:space="preserve"> SHM </w:t>
      </w:r>
      <w:r w:rsidR="00EC1370" w:rsidRPr="007F56B3">
        <w:rPr>
          <w:rFonts w:ascii="Verdana" w:hAnsi="Verdana"/>
        </w:rPr>
        <w:t>Ninove Welzijn</w:t>
      </w:r>
      <w:r w:rsidR="004B39D5" w:rsidRPr="007F56B3">
        <w:rPr>
          <w:rFonts w:ascii="Verdana" w:hAnsi="Verdana"/>
        </w:rPr>
        <w:t xml:space="preserve">, </w:t>
      </w:r>
      <w:r w:rsidR="000B185C" w:rsidRPr="007F56B3">
        <w:rPr>
          <w:rFonts w:ascii="Verdana" w:hAnsi="Verdana"/>
        </w:rPr>
        <w:t xml:space="preserve">SHM Denderstreek, </w:t>
      </w:r>
      <w:r w:rsidR="004B39D5" w:rsidRPr="007F56B3">
        <w:rPr>
          <w:rFonts w:ascii="Verdana" w:hAnsi="Verdana"/>
        </w:rPr>
        <w:t>SVK Zuid-Oost-Vlaanderen</w:t>
      </w:r>
      <w:r w:rsidR="007D111B" w:rsidRPr="007F56B3">
        <w:rPr>
          <w:rFonts w:ascii="Verdana" w:hAnsi="Verdana"/>
        </w:rPr>
        <w:t>).</w:t>
      </w:r>
    </w:p>
    <w:p w:rsidR="00814C46" w:rsidRPr="007F56B3" w:rsidRDefault="00814C46">
      <w:pPr>
        <w:rPr>
          <w:rFonts w:ascii="Verdana" w:hAnsi="Verdana"/>
        </w:rPr>
      </w:pPr>
    </w:p>
    <w:p w:rsidR="00814C46" w:rsidRPr="007F56B3" w:rsidRDefault="007D111B" w:rsidP="004B39D5">
      <w:pPr>
        <w:rPr>
          <w:rFonts w:ascii="Verdana" w:hAnsi="Verdana"/>
        </w:rPr>
      </w:pPr>
      <w:r w:rsidRPr="007F56B3">
        <w:rPr>
          <w:rFonts w:ascii="Verdana" w:hAnsi="Verdana"/>
        </w:rPr>
        <w:t>Daarna is</w:t>
      </w:r>
      <w:r w:rsidR="00D673B4" w:rsidRPr="007F56B3">
        <w:rPr>
          <w:rFonts w:ascii="Verdana" w:hAnsi="Verdana"/>
        </w:rPr>
        <w:t xml:space="preserve"> het</w:t>
      </w:r>
      <w:r w:rsidR="00814C46" w:rsidRPr="007F56B3">
        <w:rPr>
          <w:rFonts w:ascii="Verdana" w:hAnsi="Verdana"/>
        </w:rPr>
        <w:t xml:space="preserve"> </w:t>
      </w:r>
      <w:r w:rsidR="00B745BA" w:rsidRPr="007F56B3">
        <w:rPr>
          <w:rFonts w:ascii="Verdana" w:hAnsi="Verdana"/>
        </w:rPr>
        <w:t xml:space="preserve">ter bespreking en goedkeuring </w:t>
      </w:r>
      <w:r w:rsidR="00814C46" w:rsidRPr="007F56B3">
        <w:rPr>
          <w:rFonts w:ascii="Verdana" w:hAnsi="Verdana"/>
        </w:rPr>
        <w:t xml:space="preserve">voorgelegd aan de gemeenteraad van </w:t>
      </w:r>
      <w:r w:rsidR="00EC1370" w:rsidRPr="007F56B3">
        <w:rPr>
          <w:rFonts w:ascii="Verdana" w:hAnsi="Verdana"/>
        </w:rPr>
        <w:t>Ninove</w:t>
      </w:r>
      <w:r w:rsidR="000B185C" w:rsidRPr="007F56B3">
        <w:rPr>
          <w:rFonts w:ascii="Verdana" w:hAnsi="Verdana"/>
        </w:rPr>
        <w:t xml:space="preserve"> </w:t>
      </w:r>
      <w:r w:rsidR="00352B19" w:rsidRPr="007F56B3">
        <w:rPr>
          <w:rFonts w:ascii="Verdana" w:hAnsi="Verdana"/>
        </w:rPr>
        <w:t xml:space="preserve">van </w:t>
      </w:r>
      <w:r w:rsidR="00932CAF" w:rsidRPr="00932CAF">
        <w:rPr>
          <w:rFonts w:ascii="Verdana" w:hAnsi="Verdana"/>
        </w:rPr>
        <w:t>26.11</w:t>
      </w:r>
      <w:r w:rsidR="00C46177" w:rsidRPr="00932CAF">
        <w:rPr>
          <w:rFonts w:ascii="Verdana" w:hAnsi="Verdana"/>
        </w:rPr>
        <w:t>.201</w:t>
      </w:r>
      <w:r w:rsidR="000B185C" w:rsidRPr="00932CAF">
        <w:rPr>
          <w:rFonts w:ascii="Verdana" w:hAnsi="Verdana"/>
        </w:rPr>
        <w:t>5</w:t>
      </w:r>
      <w:r w:rsidR="00814C46" w:rsidRPr="007F56B3">
        <w:rPr>
          <w:rFonts w:ascii="Verdana" w:hAnsi="Verdana"/>
        </w:rPr>
        <w:t>.</w:t>
      </w:r>
    </w:p>
    <w:p w:rsidR="00CB24EF" w:rsidRPr="007F56B3" w:rsidRDefault="00CB24EF">
      <w:pPr>
        <w:rPr>
          <w:rFonts w:ascii="Verdana" w:hAnsi="Verdana"/>
        </w:rPr>
      </w:pPr>
    </w:p>
    <w:p w:rsidR="007D111B" w:rsidRPr="007F56B3" w:rsidRDefault="008D36CC" w:rsidP="00F30AEC">
      <w:pPr>
        <w:rPr>
          <w:rFonts w:ascii="Verdana" w:hAnsi="Verdana"/>
        </w:rPr>
      </w:pPr>
      <w:r w:rsidRPr="007F56B3">
        <w:rPr>
          <w:rFonts w:ascii="Verdana" w:hAnsi="Verdana"/>
        </w:rPr>
        <w:t>Na goedkeuring door de gemeenteraad moet de gemeente</w:t>
      </w:r>
      <w:r w:rsidR="00CB24EF" w:rsidRPr="007F56B3">
        <w:rPr>
          <w:rFonts w:ascii="Verdana" w:hAnsi="Verdana"/>
        </w:rPr>
        <w:t xml:space="preserve"> het reglement</w:t>
      </w:r>
      <w:r w:rsidR="007D111B" w:rsidRPr="007F56B3">
        <w:rPr>
          <w:rFonts w:ascii="Verdana" w:hAnsi="Verdana"/>
        </w:rPr>
        <w:t xml:space="preserve"> met bijhorende verslagen en </w:t>
      </w:r>
      <w:r w:rsidR="00CB24EF" w:rsidRPr="007F56B3">
        <w:rPr>
          <w:rFonts w:ascii="Verdana" w:hAnsi="Verdana"/>
        </w:rPr>
        <w:t>bijlagen op</w:t>
      </w:r>
      <w:r w:rsidR="004B39D5" w:rsidRPr="007F56B3">
        <w:rPr>
          <w:rFonts w:ascii="Verdana" w:hAnsi="Verdana"/>
        </w:rPr>
        <w:t>sturen naar de Afdeling Woonbeleid van het Agentschap Wonen-Vlaanderen</w:t>
      </w:r>
      <w:r w:rsidR="00F30AEC" w:rsidRPr="007F56B3">
        <w:rPr>
          <w:rFonts w:ascii="Verdana" w:hAnsi="Verdana"/>
        </w:rPr>
        <w:t xml:space="preserve"> (Phoenixgebouw, Koning Albert-II Laan 19 bus 40, B-1210 Brussel), </w:t>
      </w:r>
      <w:r w:rsidRPr="007F56B3">
        <w:rPr>
          <w:rFonts w:ascii="Verdana" w:hAnsi="Verdana"/>
        </w:rPr>
        <w:t>dat het dossier voorbereidt voor de minister van Wonen.</w:t>
      </w:r>
      <w:r w:rsidR="00CB24EF" w:rsidRPr="007F56B3">
        <w:rPr>
          <w:rFonts w:ascii="Verdana" w:hAnsi="Verdana"/>
        </w:rPr>
        <w:t xml:space="preserve"> </w:t>
      </w:r>
    </w:p>
    <w:p w:rsidR="007D111B" w:rsidRPr="007F56B3" w:rsidRDefault="007D111B">
      <w:pPr>
        <w:rPr>
          <w:rFonts w:ascii="Verdana" w:hAnsi="Verdana"/>
        </w:rPr>
      </w:pPr>
    </w:p>
    <w:p w:rsidR="00CB24EF" w:rsidRPr="007F56B3" w:rsidRDefault="008D36CC">
      <w:pPr>
        <w:rPr>
          <w:rFonts w:ascii="Verdana" w:hAnsi="Verdana"/>
        </w:rPr>
      </w:pPr>
      <w:r w:rsidRPr="007F56B3">
        <w:rPr>
          <w:rFonts w:ascii="Verdana" w:hAnsi="Verdana"/>
        </w:rPr>
        <w:t>De minister heeft</w:t>
      </w:r>
      <w:r w:rsidR="00CB24EF" w:rsidRPr="007F56B3">
        <w:rPr>
          <w:rFonts w:ascii="Verdana" w:hAnsi="Verdana"/>
        </w:rPr>
        <w:t xml:space="preserve"> 90 dagen tijd om te beslissen of ze het reglement goedkeurt</w:t>
      </w:r>
      <w:r w:rsidRPr="007F56B3">
        <w:rPr>
          <w:rFonts w:ascii="Verdana" w:hAnsi="Verdana"/>
        </w:rPr>
        <w:t xml:space="preserve"> (voorbereiding inbegrepen)</w:t>
      </w:r>
      <w:r w:rsidR="00CB24EF" w:rsidRPr="007F56B3">
        <w:rPr>
          <w:rFonts w:ascii="Verdana" w:hAnsi="Verdana"/>
        </w:rPr>
        <w:t>.</w:t>
      </w:r>
      <w:r w:rsidR="00936AC7" w:rsidRPr="007F56B3">
        <w:rPr>
          <w:rFonts w:ascii="Verdana" w:hAnsi="Verdana"/>
        </w:rPr>
        <w:t xml:space="preserve"> Neemt de minister binnen die tijd geen beslissing, wordt het reglement geacht goedgekeurd te zijn.</w:t>
      </w:r>
    </w:p>
    <w:p w:rsidR="00814C46" w:rsidRPr="007F56B3" w:rsidRDefault="00814C46">
      <w:pPr>
        <w:rPr>
          <w:rFonts w:ascii="Verdana" w:hAnsi="Verdana"/>
        </w:rPr>
      </w:pPr>
    </w:p>
    <w:p w:rsidR="00352B19" w:rsidRPr="007F56B3" w:rsidRDefault="00352B19">
      <w:pPr>
        <w:rPr>
          <w:rFonts w:ascii="Verdana" w:hAnsi="Verdana"/>
        </w:rPr>
      </w:pPr>
    </w:p>
    <w:p w:rsidR="00352B19" w:rsidRPr="007F56B3" w:rsidRDefault="00352B19" w:rsidP="00823F77">
      <w:pPr>
        <w:outlineLvl w:val="0"/>
        <w:rPr>
          <w:rFonts w:ascii="Verdana" w:hAnsi="Verdana"/>
          <w:i/>
          <w:sz w:val="28"/>
          <w:szCs w:val="28"/>
          <w:u w:val="single"/>
        </w:rPr>
      </w:pPr>
      <w:r w:rsidRPr="007F56B3">
        <w:rPr>
          <w:rFonts w:ascii="Verdana" w:hAnsi="Verdana"/>
          <w:i/>
          <w:sz w:val="28"/>
          <w:szCs w:val="28"/>
          <w:u w:val="single"/>
        </w:rPr>
        <w:t>Toelichting</w:t>
      </w:r>
    </w:p>
    <w:p w:rsidR="00B745BA" w:rsidRPr="007F56B3" w:rsidRDefault="00B745BA" w:rsidP="00CA1008">
      <w:pPr>
        <w:rPr>
          <w:rFonts w:ascii="Verdana" w:hAnsi="Verdana"/>
        </w:rPr>
      </w:pPr>
    </w:p>
    <w:p w:rsidR="00F30AEC" w:rsidRPr="007F56B3" w:rsidRDefault="00F30AEC" w:rsidP="00F30AEC">
      <w:pPr>
        <w:rPr>
          <w:rFonts w:ascii="Verdana" w:hAnsi="Verdana"/>
        </w:rPr>
      </w:pPr>
      <w:r w:rsidRPr="007F56B3">
        <w:rPr>
          <w:rFonts w:ascii="Verdana" w:hAnsi="Verdana"/>
        </w:rPr>
        <w:t>Het Sociaal Huurbesluit van 12 oktober 2007 geeft aan gemeenten de mogelijkheid om een eigen lokaal toewijzingsreglement te maken voor de toewijzing van sociale huurwoningen op haar grondgebied (art. 25 tot en met 29 van het Sociaal Huurbesluit). Er zijn drie domeinen waar een voorrang kan worden ingebouwd:</w:t>
      </w:r>
    </w:p>
    <w:p w:rsidR="00F30AEC" w:rsidRPr="007F56B3" w:rsidRDefault="00F30AEC" w:rsidP="008C4E39">
      <w:pPr>
        <w:pStyle w:val="Lijstalinea"/>
        <w:numPr>
          <w:ilvl w:val="0"/>
          <w:numId w:val="8"/>
        </w:numPr>
        <w:rPr>
          <w:rFonts w:ascii="Verdana" w:hAnsi="Verdana"/>
        </w:rPr>
      </w:pPr>
      <w:r w:rsidRPr="007F56B3">
        <w:rPr>
          <w:rFonts w:ascii="Verdana" w:hAnsi="Verdana"/>
        </w:rPr>
        <w:t>Lokale binding</w:t>
      </w:r>
    </w:p>
    <w:p w:rsidR="00F30AEC" w:rsidRPr="007F56B3" w:rsidRDefault="00F30AEC" w:rsidP="008C4E39">
      <w:pPr>
        <w:pStyle w:val="Lijstalinea"/>
        <w:numPr>
          <w:ilvl w:val="0"/>
          <w:numId w:val="8"/>
        </w:numPr>
        <w:rPr>
          <w:rFonts w:ascii="Verdana" w:hAnsi="Verdana"/>
        </w:rPr>
      </w:pPr>
      <w:r w:rsidRPr="007F56B3">
        <w:rPr>
          <w:rFonts w:ascii="Verdana" w:hAnsi="Verdana"/>
        </w:rPr>
        <w:t>Leefbaarheid</w:t>
      </w:r>
    </w:p>
    <w:p w:rsidR="00CB24EF" w:rsidRPr="007F56B3" w:rsidRDefault="00F30AEC" w:rsidP="008C4E39">
      <w:pPr>
        <w:pStyle w:val="Lijstalinea"/>
        <w:numPr>
          <w:ilvl w:val="0"/>
          <w:numId w:val="8"/>
        </w:numPr>
        <w:rPr>
          <w:rFonts w:ascii="Verdana" w:hAnsi="Verdana"/>
        </w:rPr>
      </w:pPr>
      <w:r w:rsidRPr="007F56B3">
        <w:rPr>
          <w:rFonts w:ascii="Verdana" w:hAnsi="Verdana"/>
        </w:rPr>
        <w:t>Een of meerdere doelgroepen</w:t>
      </w:r>
    </w:p>
    <w:p w:rsidR="00F30AEC" w:rsidRPr="007F56B3" w:rsidRDefault="00F30AEC">
      <w:pPr>
        <w:rPr>
          <w:rFonts w:ascii="Verdana" w:hAnsi="Verdana"/>
        </w:rPr>
      </w:pPr>
    </w:p>
    <w:p w:rsidR="00F30AEC" w:rsidRPr="007F56B3" w:rsidRDefault="00F30AEC" w:rsidP="00CF77C3">
      <w:pPr>
        <w:rPr>
          <w:rFonts w:ascii="Verdana" w:hAnsi="Verdana"/>
        </w:rPr>
      </w:pPr>
      <w:r w:rsidRPr="007F56B3">
        <w:rPr>
          <w:rFonts w:ascii="Verdana" w:hAnsi="Verdana"/>
        </w:rPr>
        <w:t>Dit toewijzingsreglement wil een invulling ge</w:t>
      </w:r>
      <w:r w:rsidR="008C4E39" w:rsidRPr="007F56B3">
        <w:rPr>
          <w:rFonts w:ascii="Verdana" w:hAnsi="Verdana"/>
        </w:rPr>
        <w:t xml:space="preserve">ven aan het domein </w:t>
      </w:r>
      <w:r w:rsidR="00EC1370" w:rsidRPr="007F56B3">
        <w:rPr>
          <w:rFonts w:ascii="Verdana" w:hAnsi="Verdana"/>
        </w:rPr>
        <w:t>‘</w:t>
      </w:r>
      <w:r w:rsidR="008C4E39" w:rsidRPr="007F56B3">
        <w:rPr>
          <w:rFonts w:ascii="Verdana" w:hAnsi="Verdana"/>
        </w:rPr>
        <w:t>doelgroepen</w:t>
      </w:r>
      <w:r w:rsidR="00EC1370" w:rsidRPr="007F56B3">
        <w:rPr>
          <w:rFonts w:ascii="Verdana" w:hAnsi="Verdana"/>
        </w:rPr>
        <w:t>’</w:t>
      </w:r>
      <w:r w:rsidR="008C4E39" w:rsidRPr="007F56B3">
        <w:rPr>
          <w:rFonts w:ascii="Verdana" w:hAnsi="Verdana"/>
        </w:rPr>
        <w:t xml:space="preserve">, met </w:t>
      </w:r>
      <w:r w:rsidR="00CF77C3" w:rsidRPr="007F56B3">
        <w:rPr>
          <w:rFonts w:ascii="Verdana" w:hAnsi="Verdana"/>
        </w:rPr>
        <w:t>als</w:t>
      </w:r>
      <w:r w:rsidR="008C4E39" w:rsidRPr="007F56B3">
        <w:rPr>
          <w:rFonts w:ascii="Verdana" w:hAnsi="Verdana"/>
        </w:rPr>
        <w:t xml:space="preserve"> doelgroep </w:t>
      </w:r>
      <w:r w:rsidR="00CF77C3" w:rsidRPr="007F56B3">
        <w:rPr>
          <w:rFonts w:ascii="Verdana" w:hAnsi="Verdana"/>
        </w:rPr>
        <w:t xml:space="preserve">kandidaat-huurders van </w:t>
      </w:r>
      <w:r w:rsidR="008C4E39" w:rsidRPr="007F56B3">
        <w:rPr>
          <w:rFonts w:ascii="Verdana" w:hAnsi="Verdana"/>
        </w:rPr>
        <w:t>65</w:t>
      </w:r>
      <w:r w:rsidR="00CF77C3" w:rsidRPr="007F56B3">
        <w:rPr>
          <w:rFonts w:ascii="Verdana" w:hAnsi="Verdana"/>
        </w:rPr>
        <w:t xml:space="preserve"> jaar of ouder</w:t>
      </w:r>
      <w:r w:rsidR="008C4E39" w:rsidRPr="007F56B3">
        <w:rPr>
          <w:rFonts w:ascii="Verdana" w:hAnsi="Verdana"/>
        </w:rPr>
        <w:t xml:space="preserve">. </w:t>
      </w:r>
    </w:p>
    <w:p w:rsidR="008C4E39" w:rsidRPr="007F56B3" w:rsidRDefault="008C4E39">
      <w:pPr>
        <w:rPr>
          <w:rFonts w:ascii="Verdana" w:hAnsi="Verdana"/>
        </w:rPr>
      </w:pPr>
    </w:p>
    <w:p w:rsidR="007251B3" w:rsidRPr="007F56B3" w:rsidRDefault="00CB24EF">
      <w:pPr>
        <w:rPr>
          <w:rFonts w:ascii="Verdana" w:hAnsi="Verdana"/>
        </w:rPr>
      </w:pPr>
      <w:r w:rsidRPr="007F56B3">
        <w:rPr>
          <w:rFonts w:ascii="Verdana" w:hAnsi="Verdana"/>
        </w:rPr>
        <w:t>Volgens de Omz</w:t>
      </w:r>
      <w:r w:rsidR="005C6B70" w:rsidRPr="007F56B3">
        <w:rPr>
          <w:rFonts w:ascii="Verdana" w:hAnsi="Verdana"/>
        </w:rPr>
        <w:t>endbrief W</w:t>
      </w:r>
      <w:r w:rsidR="00F30AEC" w:rsidRPr="007F56B3">
        <w:rPr>
          <w:rFonts w:ascii="Verdana" w:hAnsi="Verdana"/>
        </w:rPr>
        <w:t xml:space="preserve">/2014/01 van 23 januari </w:t>
      </w:r>
      <w:r w:rsidR="005C6B70" w:rsidRPr="007F56B3">
        <w:rPr>
          <w:rFonts w:ascii="Verdana" w:hAnsi="Verdana"/>
        </w:rPr>
        <w:t>2014</w:t>
      </w:r>
      <w:r w:rsidRPr="007F56B3">
        <w:rPr>
          <w:rFonts w:ascii="Verdana" w:hAnsi="Verdana"/>
        </w:rPr>
        <w:t xml:space="preserve"> van de minister van Wonen kan een gemeentelijk toewijzingsreglement met </w:t>
      </w:r>
      <w:r w:rsidR="008C4E39" w:rsidRPr="007F56B3">
        <w:rPr>
          <w:rFonts w:ascii="Verdana" w:hAnsi="Verdana"/>
        </w:rPr>
        <w:t xml:space="preserve">als </w:t>
      </w:r>
      <w:r w:rsidRPr="007F56B3">
        <w:rPr>
          <w:rFonts w:ascii="Verdana" w:hAnsi="Verdana"/>
        </w:rPr>
        <w:t>doelgroep</w:t>
      </w:r>
      <w:r w:rsidR="008C4E39" w:rsidRPr="007F56B3">
        <w:rPr>
          <w:rFonts w:ascii="Verdana" w:hAnsi="Verdana"/>
        </w:rPr>
        <w:t xml:space="preserve"> ouderen</w:t>
      </w:r>
      <w:r w:rsidRPr="007F56B3">
        <w:rPr>
          <w:rFonts w:ascii="Verdana" w:hAnsi="Verdana"/>
        </w:rPr>
        <w:t xml:space="preserve"> </w:t>
      </w:r>
      <w:r w:rsidR="007251B3" w:rsidRPr="007F56B3">
        <w:rPr>
          <w:rFonts w:ascii="Verdana" w:hAnsi="Verdana"/>
        </w:rPr>
        <w:t>volgens een soepeler procedure</w:t>
      </w:r>
      <w:r w:rsidR="00BC6E4C" w:rsidRPr="007F56B3">
        <w:rPr>
          <w:rFonts w:ascii="Verdana" w:hAnsi="Verdana"/>
        </w:rPr>
        <w:t xml:space="preserve"> opgesteld worden</w:t>
      </w:r>
      <w:r w:rsidR="005C6B70" w:rsidRPr="007F56B3">
        <w:rPr>
          <w:rFonts w:ascii="Verdana" w:hAnsi="Verdana"/>
        </w:rPr>
        <w:t xml:space="preserve"> indien</w:t>
      </w:r>
      <w:r w:rsidR="007251B3" w:rsidRPr="007F56B3">
        <w:rPr>
          <w:rFonts w:ascii="Verdana" w:hAnsi="Verdana"/>
        </w:rPr>
        <w:t xml:space="preserve"> het reglement binnen bepaalde grenzen blijft:</w:t>
      </w:r>
    </w:p>
    <w:p w:rsidR="007251B3" w:rsidRPr="007F56B3" w:rsidRDefault="00BC6E4C" w:rsidP="007251B3">
      <w:pPr>
        <w:pStyle w:val="CommentaarOpsomming"/>
        <w:rPr>
          <w:rFonts w:ascii="Verdana" w:hAnsi="Verdana"/>
        </w:rPr>
      </w:pPr>
      <w:r w:rsidRPr="007F56B3">
        <w:rPr>
          <w:rFonts w:ascii="Verdana" w:hAnsi="Verdana"/>
        </w:rPr>
        <w:t xml:space="preserve">het reglement mag </w:t>
      </w:r>
      <w:r w:rsidR="007251B3" w:rsidRPr="007F56B3">
        <w:rPr>
          <w:rFonts w:ascii="Verdana" w:hAnsi="Verdana"/>
        </w:rPr>
        <w:t>de leeftijdsgrens voor de voorrang voor ouderen niet lager dan 65 jaar leggen</w:t>
      </w:r>
      <w:r w:rsidRPr="007F56B3">
        <w:rPr>
          <w:rFonts w:ascii="Verdana" w:hAnsi="Verdana"/>
        </w:rPr>
        <w:t>;</w:t>
      </w:r>
    </w:p>
    <w:p w:rsidR="00CB24EF" w:rsidRPr="007F56B3" w:rsidRDefault="007251B3" w:rsidP="007251B3">
      <w:pPr>
        <w:pStyle w:val="CommentaarOpsomming"/>
        <w:rPr>
          <w:rFonts w:ascii="Verdana" w:hAnsi="Verdana"/>
        </w:rPr>
      </w:pPr>
      <w:r w:rsidRPr="007F56B3">
        <w:rPr>
          <w:rFonts w:ascii="Verdana" w:hAnsi="Verdana"/>
        </w:rPr>
        <w:t>de voorrang mag voor maximum 1/4 van het bestand aan sociale huurwoningen gelden en voor maximum 1/3 van de sociale huurwoningen met 1 of 2 slaapkamers.</w:t>
      </w:r>
    </w:p>
    <w:p w:rsidR="007251B3" w:rsidRPr="007F56B3" w:rsidRDefault="007251B3">
      <w:pPr>
        <w:rPr>
          <w:rFonts w:ascii="Verdana" w:hAnsi="Verdana"/>
        </w:rPr>
      </w:pPr>
    </w:p>
    <w:p w:rsidR="007251B3" w:rsidRPr="007F56B3" w:rsidRDefault="007251B3" w:rsidP="00F30AEC">
      <w:pPr>
        <w:rPr>
          <w:rFonts w:ascii="Verdana" w:hAnsi="Verdana"/>
        </w:rPr>
      </w:pPr>
      <w:r w:rsidRPr="007F56B3">
        <w:rPr>
          <w:rFonts w:ascii="Verdana" w:hAnsi="Verdana"/>
        </w:rPr>
        <w:t xml:space="preserve">De </w:t>
      </w:r>
      <w:r w:rsidR="0088439E" w:rsidRPr="007F56B3">
        <w:rPr>
          <w:rFonts w:ascii="Verdana" w:hAnsi="Verdana"/>
        </w:rPr>
        <w:t>stad Ninove</w:t>
      </w:r>
      <w:r w:rsidRPr="007F56B3">
        <w:rPr>
          <w:rFonts w:ascii="Verdana" w:hAnsi="Verdana"/>
        </w:rPr>
        <w:t xml:space="preserve"> wenst </w:t>
      </w:r>
      <w:r w:rsidR="007F56B3" w:rsidRPr="007F56B3">
        <w:rPr>
          <w:rFonts w:ascii="Verdana" w:hAnsi="Verdana"/>
        </w:rPr>
        <w:t>27</w:t>
      </w:r>
      <w:r w:rsidRPr="007F56B3">
        <w:rPr>
          <w:rFonts w:ascii="Verdana" w:hAnsi="Verdana"/>
        </w:rPr>
        <w:t xml:space="preserve"> </w:t>
      </w:r>
      <w:r w:rsidR="00C32E3B" w:rsidRPr="007F56B3">
        <w:rPr>
          <w:rFonts w:ascii="Verdana" w:hAnsi="Verdana"/>
        </w:rPr>
        <w:t xml:space="preserve">woningen </w:t>
      </w:r>
      <w:r w:rsidRPr="007F56B3">
        <w:rPr>
          <w:rFonts w:ascii="Verdana" w:hAnsi="Verdana"/>
        </w:rPr>
        <w:t>met een voorrang voor ouderen vanaf 65 jaar te voorzien. Daarmee blijft ze binnen de grenzen van de Omzendbrief (zie ook bijlagen</w:t>
      </w:r>
      <w:r w:rsidR="00D77866" w:rsidRPr="007F56B3">
        <w:rPr>
          <w:rFonts w:ascii="Verdana" w:hAnsi="Verdana"/>
        </w:rPr>
        <w:t xml:space="preserve"> met cijfergegevens</w:t>
      </w:r>
      <w:r w:rsidRPr="007F56B3">
        <w:rPr>
          <w:rFonts w:ascii="Verdana" w:hAnsi="Verdana"/>
        </w:rPr>
        <w:t xml:space="preserve">) </w:t>
      </w:r>
      <w:r w:rsidR="00D77866" w:rsidRPr="007F56B3">
        <w:rPr>
          <w:rFonts w:ascii="Verdana" w:hAnsi="Verdana"/>
        </w:rPr>
        <w:t>De</w:t>
      </w:r>
      <w:r w:rsidR="007F56B3" w:rsidRPr="007F56B3">
        <w:rPr>
          <w:rFonts w:ascii="Verdana" w:hAnsi="Verdana"/>
        </w:rPr>
        <w:t xml:space="preserve"> 27</w:t>
      </w:r>
      <w:r w:rsidR="00D77866" w:rsidRPr="007F56B3">
        <w:rPr>
          <w:rFonts w:ascii="Verdana" w:hAnsi="Verdana"/>
        </w:rPr>
        <w:t xml:space="preserve"> </w:t>
      </w:r>
      <w:r w:rsidR="00416B32" w:rsidRPr="007F56B3">
        <w:rPr>
          <w:rFonts w:ascii="Verdana" w:hAnsi="Verdana"/>
        </w:rPr>
        <w:t>woningen</w:t>
      </w:r>
      <w:r w:rsidR="00D77866" w:rsidRPr="007F56B3">
        <w:rPr>
          <w:rFonts w:ascii="Verdana" w:hAnsi="Verdana"/>
        </w:rPr>
        <w:t xml:space="preserve"> waarvoor een voorrang voor senioren vanaf 65 geldt, </w:t>
      </w:r>
      <w:r w:rsidR="00F30AEC" w:rsidRPr="007F56B3">
        <w:rPr>
          <w:rFonts w:ascii="Verdana" w:hAnsi="Verdana"/>
        </w:rPr>
        <w:t>zijn</w:t>
      </w:r>
      <w:r w:rsidR="00D77866" w:rsidRPr="007F56B3">
        <w:rPr>
          <w:rFonts w:ascii="Verdana" w:hAnsi="Verdana"/>
        </w:rPr>
        <w:t xml:space="preserve"> opgesomd in een aparte lijst</w:t>
      </w:r>
      <w:r w:rsidR="007D6CDA" w:rsidRPr="007F56B3">
        <w:rPr>
          <w:rFonts w:ascii="Verdana" w:hAnsi="Verdana"/>
        </w:rPr>
        <w:t>, als bijlage</w:t>
      </w:r>
      <w:r w:rsidR="00D77866" w:rsidRPr="007F56B3">
        <w:rPr>
          <w:rFonts w:ascii="Verdana" w:hAnsi="Verdana"/>
        </w:rPr>
        <w:t xml:space="preserve"> bij het reglement</w:t>
      </w:r>
      <w:r w:rsidR="00BC6E4C" w:rsidRPr="007F56B3">
        <w:rPr>
          <w:rFonts w:ascii="Verdana" w:hAnsi="Verdana"/>
        </w:rPr>
        <w:t>.</w:t>
      </w:r>
    </w:p>
    <w:p w:rsidR="007D111B" w:rsidRPr="007F56B3" w:rsidRDefault="007D111B">
      <w:pPr>
        <w:rPr>
          <w:rFonts w:ascii="Verdana" w:hAnsi="Verdana"/>
        </w:rPr>
      </w:pPr>
    </w:p>
    <w:p w:rsidR="00814C46" w:rsidRPr="007F56B3" w:rsidRDefault="00D77866" w:rsidP="00CF77C3">
      <w:pPr>
        <w:rPr>
          <w:rFonts w:ascii="Verdana" w:hAnsi="Verdana"/>
        </w:rPr>
      </w:pPr>
      <w:r w:rsidRPr="007F56B3">
        <w:rPr>
          <w:rFonts w:ascii="Verdana" w:hAnsi="Verdana"/>
        </w:rPr>
        <w:t xml:space="preserve">Het reglement is uitdrukkelijk niet van toepassing op de sociale huurwoningen van het Sociaal Verhuurkantoor </w:t>
      </w:r>
      <w:r w:rsidR="00653BEA" w:rsidRPr="007F56B3">
        <w:rPr>
          <w:rFonts w:ascii="Verdana" w:hAnsi="Verdana"/>
        </w:rPr>
        <w:t>Zuid-Oost-Vlaanderen</w:t>
      </w:r>
      <w:r w:rsidRPr="007F56B3">
        <w:rPr>
          <w:rFonts w:ascii="Verdana" w:hAnsi="Verdana"/>
        </w:rPr>
        <w:t xml:space="preserve"> op het grondgebied van </w:t>
      </w:r>
      <w:r w:rsidR="00C32E3B" w:rsidRPr="007F56B3">
        <w:rPr>
          <w:rFonts w:ascii="Verdana" w:hAnsi="Verdana"/>
        </w:rPr>
        <w:t>Ninove</w:t>
      </w:r>
      <w:r w:rsidRPr="007F56B3">
        <w:rPr>
          <w:rFonts w:ascii="Verdana" w:hAnsi="Verdana"/>
        </w:rPr>
        <w:t>.</w:t>
      </w:r>
      <w:r w:rsidR="002D59E8" w:rsidRPr="007F56B3">
        <w:rPr>
          <w:rFonts w:ascii="Verdana" w:hAnsi="Verdana"/>
        </w:rPr>
        <w:t xml:space="preserve"> </w:t>
      </w:r>
    </w:p>
    <w:p w:rsidR="008804F4" w:rsidRPr="007F56B3" w:rsidRDefault="008804F4" w:rsidP="00823F77">
      <w:pPr>
        <w:outlineLvl w:val="0"/>
        <w:rPr>
          <w:rFonts w:ascii="Verdana" w:hAnsi="Verdana"/>
          <w:i/>
          <w:u w:val="single"/>
        </w:rPr>
      </w:pPr>
    </w:p>
    <w:p w:rsidR="00AA7B69" w:rsidRPr="007F56B3" w:rsidRDefault="00CF77C3" w:rsidP="007D111B">
      <w:pPr>
        <w:keepNext/>
        <w:outlineLvl w:val="0"/>
        <w:rPr>
          <w:rFonts w:ascii="Verdana" w:hAnsi="Verdana"/>
          <w:i/>
          <w:sz w:val="28"/>
          <w:szCs w:val="28"/>
          <w:u w:val="single"/>
        </w:rPr>
      </w:pPr>
      <w:r w:rsidRPr="007F56B3">
        <w:rPr>
          <w:rFonts w:ascii="Verdana" w:hAnsi="Verdana"/>
          <w:i/>
          <w:sz w:val="28"/>
          <w:szCs w:val="28"/>
          <w:u w:val="single"/>
        </w:rPr>
        <w:t>Het reglement</w:t>
      </w:r>
      <w:r w:rsidR="00BC6E4C" w:rsidRPr="007F56B3">
        <w:rPr>
          <w:rFonts w:ascii="Verdana" w:hAnsi="Verdana"/>
          <w:i/>
          <w:sz w:val="28"/>
          <w:szCs w:val="28"/>
          <w:u w:val="single"/>
        </w:rPr>
        <w:t xml:space="preserve"> </w:t>
      </w:r>
      <w:r w:rsidR="00C32E3B" w:rsidRPr="007F56B3">
        <w:rPr>
          <w:rFonts w:ascii="Verdana" w:hAnsi="Verdana"/>
          <w:i/>
          <w:sz w:val="28"/>
          <w:szCs w:val="28"/>
          <w:u w:val="single"/>
        </w:rPr>
        <w:t xml:space="preserve">voor de toewijzing bij voorrang aan ouderen vanaf 65 jaar </w:t>
      </w:r>
      <w:r w:rsidR="00785B74" w:rsidRPr="007F56B3">
        <w:rPr>
          <w:rFonts w:ascii="Verdana" w:hAnsi="Verdana"/>
          <w:i/>
          <w:sz w:val="28"/>
          <w:szCs w:val="28"/>
          <w:u w:val="single"/>
        </w:rPr>
        <w:t>van aangeduide sociale woningen/appartementen op het grondgebied van Ninove</w:t>
      </w:r>
    </w:p>
    <w:p w:rsidR="00FA44AA" w:rsidRPr="007F56B3" w:rsidRDefault="00FA44AA" w:rsidP="007D111B">
      <w:pPr>
        <w:keepNext/>
        <w:rPr>
          <w:rFonts w:ascii="Verdana" w:hAnsi="Verdana"/>
        </w:rPr>
      </w:pPr>
    </w:p>
    <w:p w:rsidR="00FA44AA" w:rsidRPr="007F56B3" w:rsidRDefault="00FA44AA">
      <w:pPr>
        <w:rPr>
          <w:rFonts w:ascii="Verdana" w:hAnsi="Verdana"/>
        </w:rPr>
      </w:pPr>
      <w:r w:rsidRPr="007F56B3">
        <w:rPr>
          <w:rFonts w:ascii="Verdana" w:hAnsi="Verdana"/>
        </w:rPr>
        <w:t>Dit reglement geeft invulling aan Hoofdstuk V, Afdeling V van het Soc</w:t>
      </w:r>
      <w:r w:rsidR="00CF77C3" w:rsidRPr="007F56B3">
        <w:rPr>
          <w:rFonts w:ascii="Verdana" w:hAnsi="Verdana"/>
        </w:rPr>
        <w:t xml:space="preserve">iaal Huurbesluit van 12 oktober </w:t>
      </w:r>
      <w:r w:rsidR="0026005C" w:rsidRPr="007F56B3">
        <w:rPr>
          <w:rFonts w:ascii="Verdana" w:hAnsi="Verdana"/>
        </w:rPr>
        <w:t>2007 en volgt de procedure en be</w:t>
      </w:r>
      <w:r w:rsidR="001D13B0" w:rsidRPr="007F56B3">
        <w:rPr>
          <w:rFonts w:ascii="Verdana" w:hAnsi="Verdana"/>
        </w:rPr>
        <w:t xml:space="preserve">perkingen van </w:t>
      </w:r>
      <w:r w:rsidR="00CF77C3" w:rsidRPr="007F56B3">
        <w:rPr>
          <w:rFonts w:ascii="Verdana" w:hAnsi="Verdana"/>
        </w:rPr>
        <w:t xml:space="preserve">Omzendbrief W/2014/01 van 23 januari </w:t>
      </w:r>
      <w:r w:rsidR="001D13B0" w:rsidRPr="007F56B3">
        <w:rPr>
          <w:rFonts w:ascii="Verdana" w:hAnsi="Verdana"/>
        </w:rPr>
        <w:t>2014</w:t>
      </w:r>
      <w:r w:rsidR="0026005C" w:rsidRPr="007F56B3">
        <w:rPr>
          <w:rFonts w:ascii="Verdana" w:hAnsi="Verdana"/>
        </w:rPr>
        <w:t xml:space="preserve"> van de Vlaamse minister van Wonen.</w:t>
      </w:r>
    </w:p>
    <w:p w:rsidR="004814C6" w:rsidRPr="007F56B3" w:rsidRDefault="004814C6">
      <w:pPr>
        <w:rPr>
          <w:rFonts w:ascii="Verdana" w:hAnsi="Verdana"/>
        </w:rPr>
      </w:pPr>
    </w:p>
    <w:p w:rsidR="00FA44AA" w:rsidRPr="007F56B3" w:rsidRDefault="00FA44AA" w:rsidP="0033177C">
      <w:pPr>
        <w:keepNext/>
        <w:outlineLvl w:val="0"/>
        <w:rPr>
          <w:rFonts w:ascii="Verdana" w:hAnsi="Verdana"/>
          <w:smallCaps/>
        </w:rPr>
      </w:pPr>
      <w:r w:rsidRPr="007F56B3">
        <w:rPr>
          <w:rFonts w:ascii="Verdana" w:hAnsi="Verdana"/>
          <w:smallCaps/>
        </w:rPr>
        <w:lastRenderedPageBreak/>
        <w:t>Definitie</w:t>
      </w:r>
      <w:r w:rsidR="0026005C" w:rsidRPr="007F56B3">
        <w:rPr>
          <w:rFonts w:ascii="Verdana" w:hAnsi="Verdana"/>
          <w:smallCaps/>
        </w:rPr>
        <w:t xml:space="preserve"> van de doelgroep</w:t>
      </w:r>
    </w:p>
    <w:p w:rsidR="00FA44AA" w:rsidRPr="007F56B3" w:rsidRDefault="00FA44AA" w:rsidP="0033177C">
      <w:pPr>
        <w:keepNext/>
        <w:rPr>
          <w:rFonts w:ascii="Verdana" w:hAnsi="Verdana"/>
        </w:rPr>
      </w:pPr>
    </w:p>
    <w:p w:rsidR="00FA44AA" w:rsidRPr="007F56B3" w:rsidRDefault="004814C6" w:rsidP="004B39D5">
      <w:pPr>
        <w:rPr>
          <w:rFonts w:ascii="Verdana" w:hAnsi="Verdana"/>
        </w:rPr>
      </w:pPr>
      <w:r w:rsidRPr="007F56B3">
        <w:rPr>
          <w:rFonts w:ascii="Verdana" w:hAnsi="Verdana"/>
          <w:b/>
        </w:rPr>
        <w:t>Art. 1</w:t>
      </w:r>
      <w:r w:rsidRPr="007F56B3">
        <w:rPr>
          <w:rFonts w:ascii="Verdana" w:hAnsi="Verdana"/>
        </w:rPr>
        <w:t xml:space="preserve">: </w:t>
      </w:r>
      <w:r w:rsidR="002D59E8" w:rsidRPr="007F56B3">
        <w:rPr>
          <w:rFonts w:ascii="Verdana" w:hAnsi="Verdana"/>
        </w:rPr>
        <w:t xml:space="preserve">Het gemeentelijk toewijzingsreglement van </w:t>
      </w:r>
      <w:r w:rsidR="00AF529C">
        <w:rPr>
          <w:rFonts w:ascii="Verdana" w:hAnsi="Verdana"/>
        </w:rPr>
        <w:t>Ninove</w:t>
      </w:r>
      <w:r w:rsidR="002D59E8" w:rsidRPr="007F56B3">
        <w:rPr>
          <w:rFonts w:ascii="Verdana" w:hAnsi="Verdana"/>
        </w:rPr>
        <w:t xml:space="preserve"> neemt een doelgroep ouderen op. </w:t>
      </w:r>
      <w:r w:rsidR="00FA44AA" w:rsidRPr="007F56B3">
        <w:rPr>
          <w:rFonts w:ascii="Verdana" w:hAnsi="Verdana"/>
        </w:rPr>
        <w:t xml:space="preserve">Voor de toepassing van dit reglement wordt de doelgroep ouderen als volgt gedefinieerd: </w:t>
      </w:r>
      <w:r w:rsidR="00AA7B69" w:rsidRPr="007F56B3">
        <w:rPr>
          <w:rFonts w:ascii="Verdana" w:hAnsi="Verdana"/>
        </w:rPr>
        <w:t xml:space="preserve">Personen vanaf </w:t>
      </w:r>
      <w:r w:rsidR="00E039D3" w:rsidRPr="007F56B3">
        <w:rPr>
          <w:rFonts w:ascii="Verdana" w:hAnsi="Verdana"/>
        </w:rPr>
        <w:t>6</w:t>
      </w:r>
      <w:r w:rsidRPr="007F56B3">
        <w:rPr>
          <w:rFonts w:ascii="Verdana" w:hAnsi="Verdana"/>
        </w:rPr>
        <w:t xml:space="preserve">5 jaar. </w:t>
      </w:r>
      <w:r w:rsidR="00AA7B69" w:rsidRPr="007F56B3">
        <w:rPr>
          <w:rFonts w:ascii="Verdana" w:hAnsi="Verdana"/>
        </w:rPr>
        <w:t xml:space="preserve">Bij een koppel volstaat dat één van beide partners </w:t>
      </w:r>
      <w:r w:rsidR="00E039D3" w:rsidRPr="007F56B3">
        <w:rPr>
          <w:rFonts w:ascii="Verdana" w:hAnsi="Verdana"/>
        </w:rPr>
        <w:t>6</w:t>
      </w:r>
      <w:r w:rsidR="00AA7B69" w:rsidRPr="007F56B3">
        <w:rPr>
          <w:rFonts w:ascii="Verdana" w:hAnsi="Verdana"/>
        </w:rPr>
        <w:t>5 jaar is</w:t>
      </w:r>
      <w:r w:rsidRPr="007F56B3">
        <w:rPr>
          <w:rFonts w:ascii="Verdana" w:hAnsi="Verdana"/>
        </w:rPr>
        <w:t>.</w:t>
      </w:r>
      <w:r w:rsidR="00AA7B69" w:rsidRPr="007F56B3">
        <w:rPr>
          <w:rFonts w:ascii="Verdana" w:hAnsi="Verdana"/>
        </w:rPr>
        <w:t xml:space="preserve"> </w:t>
      </w:r>
    </w:p>
    <w:p w:rsidR="00FA44AA" w:rsidRPr="007F56B3" w:rsidRDefault="00FA44AA" w:rsidP="00FA44AA">
      <w:pPr>
        <w:rPr>
          <w:rFonts w:ascii="Verdana" w:hAnsi="Verdana"/>
        </w:rPr>
      </w:pPr>
    </w:p>
    <w:p w:rsidR="00FA44AA" w:rsidRPr="007F56B3" w:rsidRDefault="00FA44AA" w:rsidP="00823F77">
      <w:pPr>
        <w:outlineLvl w:val="0"/>
        <w:rPr>
          <w:rFonts w:ascii="Verdana" w:hAnsi="Verdana"/>
          <w:smallCaps/>
        </w:rPr>
      </w:pPr>
      <w:r w:rsidRPr="007F56B3">
        <w:rPr>
          <w:rFonts w:ascii="Verdana" w:hAnsi="Verdana"/>
          <w:smallCaps/>
        </w:rPr>
        <w:t>Voorrang</w:t>
      </w:r>
      <w:r w:rsidR="0026005C" w:rsidRPr="007F56B3">
        <w:rPr>
          <w:rFonts w:ascii="Verdana" w:hAnsi="Verdana"/>
          <w:smallCaps/>
        </w:rPr>
        <w:t>sregel</w:t>
      </w:r>
    </w:p>
    <w:p w:rsidR="00FA44AA" w:rsidRPr="007F56B3" w:rsidRDefault="00FA44AA" w:rsidP="00FA44AA">
      <w:pPr>
        <w:rPr>
          <w:rFonts w:ascii="Verdana" w:hAnsi="Verdana"/>
        </w:rPr>
      </w:pPr>
    </w:p>
    <w:p w:rsidR="00FA44AA" w:rsidRPr="007F56B3" w:rsidRDefault="00FA44AA" w:rsidP="00FA44AA">
      <w:pPr>
        <w:rPr>
          <w:rFonts w:ascii="Verdana" w:hAnsi="Verdana"/>
        </w:rPr>
      </w:pPr>
      <w:r w:rsidRPr="007F56B3">
        <w:rPr>
          <w:rFonts w:ascii="Verdana" w:hAnsi="Verdana"/>
          <w:b/>
        </w:rPr>
        <w:t>Art. 2</w:t>
      </w:r>
      <w:r w:rsidR="0026005C" w:rsidRPr="007F56B3">
        <w:rPr>
          <w:rFonts w:ascii="Verdana" w:hAnsi="Verdana"/>
        </w:rPr>
        <w:t>.</w:t>
      </w:r>
      <w:r w:rsidRPr="007F56B3">
        <w:rPr>
          <w:rFonts w:ascii="Verdana" w:hAnsi="Verdana"/>
        </w:rPr>
        <w:t xml:space="preserve"> De doelgroep ouderen krijgt voo</w:t>
      </w:r>
      <w:r w:rsidR="002D59E8" w:rsidRPr="007F56B3">
        <w:rPr>
          <w:rFonts w:ascii="Verdana" w:hAnsi="Verdana"/>
        </w:rPr>
        <w:t xml:space="preserve">rrang bij de toewijzing van de </w:t>
      </w:r>
      <w:r w:rsidRPr="007F56B3">
        <w:rPr>
          <w:rFonts w:ascii="Verdana" w:hAnsi="Verdana"/>
        </w:rPr>
        <w:t>sociale huurwoningen die zijn opgenomen in bijlage 1 van dit reglement. Voor de overige sociale huurwoningen</w:t>
      </w:r>
      <w:r w:rsidR="002D59E8" w:rsidRPr="007F56B3">
        <w:rPr>
          <w:rFonts w:ascii="Verdana" w:hAnsi="Verdana"/>
        </w:rPr>
        <w:t xml:space="preserve"> in de gemeente</w:t>
      </w:r>
      <w:r w:rsidRPr="007F56B3">
        <w:rPr>
          <w:rFonts w:ascii="Verdana" w:hAnsi="Verdana"/>
        </w:rPr>
        <w:t xml:space="preserve"> geldt </w:t>
      </w:r>
      <w:r w:rsidR="00BC6E4C" w:rsidRPr="007F56B3">
        <w:rPr>
          <w:rFonts w:ascii="Verdana" w:hAnsi="Verdana"/>
        </w:rPr>
        <w:t xml:space="preserve">deze </w:t>
      </w:r>
      <w:r w:rsidRPr="007F56B3">
        <w:rPr>
          <w:rFonts w:ascii="Verdana" w:hAnsi="Verdana"/>
        </w:rPr>
        <w:t>b</w:t>
      </w:r>
      <w:r w:rsidR="002D59E8" w:rsidRPr="007F56B3">
        <w:rPr>
          <w:rFonts w:ascii="Verdana" w:hAnsi="Verdana"/>
        </w:rPr>
        <w:t>ijzondere voorrang voor ouderen</w:t>
      </w:r>
      <w:r w:rsidR="00BC6E4C" w:rsidRPr="007F56B3">
        <w:rPr>
          <w:rFonts w:ascii="Verdana" w:hAnsi="Verdana"/>
        </w:rPr>
        <w:t xml:space="preserve"> vanaf 65 jaar niet</w:t>
      </w:r>
      <w:r w:rsidR="002D59E8" w:rsidRPr="007F56B3">
        <w:rPr>
          <w:rFonts w:ascii="Verdana" w:hAnsi="Verdana"/>
        </w:rPr>
        <w:t>. Het reglement is niet van toepassing op de woning</w:t>
      </w:r>
      <w:r w:rsidR="00BC6E4C" w:rsidRPr="007F56B3">
        <w:rPr>
          <w:rFonts w:ascii="Verdana" w:hAnsi="Verdana"/>
        </w:rPr>
        <w:t>en</w:t>
      </w:r>
      <w:r w:rsidR="002D59E8" w:rsidRPr="007F56B3">
        <w:rPr>
          <w:rFonts w:ascii="Verdana" w:hAnsi="Verdana"/>
        </w:rPr>
        <w:t xml:space="preserve"> die verhuurd worden door het </w:t>
      </w:r>
      <w:r w:rsidR="00A0510B" w:rsidRPr="007F56B3">
        <w:rPr>
          <w:rFonts w:ascii="Verdana" w:hAnsi="Verdana"/>
        </w:rPr>
        <w:t>S</w:t>
      </w:r>
      <w:r w:rsidR="002D59E8" w:rsidRPr="007F56B3">
        <w:rPr>
          <w:rFonts w:ascii="Verdana" w:hAnsi="Verdana"/>
        </w:rPr>
        <w:t>ociaal</w:t>
      </w:r>
      <w:r w:rsidR="00653BEA" w:rsidRPr="007F56B3">
        <w:rPr>
          <w:rFonts w:ascii="Verdana" w:hAnsi="Verdana"/>
        </w:rPr>
        <w:t xml:space="preserve"> </w:t>
      </w:r>
      <w:r w:rsidR="00A0510B" w:rsidRPr="007F56B3">
        <w:rPr>
          <w:rFonts w:ascii="Verdana" w:hAnsi="Verdana"/>
        </w:rPr>
        <w:t>V</w:t>
      </w:r>
      <w:r w:rsidR="002D59E8" w:rsidRPr="007F56B3">
        <w:rPr>
          <w:rFonts w:ascii="Verdana" w:hAnsi="Verdana"/>
        </w:rPr>
        <w:t xml:space="preserve">erhuurkantoor </w:t>
      </w:r>
      <w:r w:rsidR="00653BEA" w:rsidRPr="007F56B3">
        <w:rPr>
          <w:rFonts w:ascii="Verdana" w:hAnsi="Verdana"/>
        </w:rPr>
        <w:t>Zuid</w:t>
      </w:r>
      <w:r w:rsidR="00A0510B" w:rsidRPr="007F56B3">
        <w:rPr>
          <w:rFonts w:ascii="Verdana" w:hAnsi="Verdana"/>
        </w:rPr>
        <w:t>-O</w:t>
      </w:r>
      <w:r w:rsidR="00653BEA" w:rsidRPr="007F56B3">
        <w:rPr>
          <w:rFonts w:ascii="Verdana" w:hAnsi="Verdana"/>
        </w:rPr>
        <w:t>ost-Vlaanderen</w:t>
      </w:r>
      <w:r w:rsidR="002D59E8" w:rsidRPr="007F56B3">
        <w:rPr>
          <w:rFonts w:ascii="Verdana" w:hAnsi="Verdana"/>
        </w:rPr>
        <w:t>.</w:t>
      </w:r>
    </w:p>
    <w:p w:rsidR="00FA44AA" w:rsidRPr="007F56B3" w:rsidRDefault="00FA44AA" w:rsidP="00FA44AA">
      <w:pPr>
        <w:rPr>
          <w:rFonts w:ascii="Verdana" w:hAnsi="Verdana"/>
        </w:rPr>
      </w:pPr>
    </w:p>
    <w:p w:rsidR="00FA44AA" w:rsidRPr="007F56B3" w:rsidRDefault="00FA44AA" w:rsidP="00823F77">
      <w:pPr>
        <w:outlineLvl w:val="0"/>
        <w:rPr>
          <w:rFonts w:ascii="Verdana" w:hAnsi="Verdana"/>
          <w:smallCaps/>
        </w:rPr>
      </w:pPr>
      <w:r w:rsidRPr="007F56B3">
        <w:rPr>
          <w:rFonts w:ascii="Verdana" w:hAnsi="Verdana"/>
          <w:smallCaps/>
        </w:rPr>
        <w:t>Plaats van de voorrangsregel</w:t>
      </w:r>
    </w:p>
    <w:p w:rsidR="00FA44AA" w:rsidRPr="007F56B3" w:rsidRDefault="00FA44AA" w:rsidP="00FA44AA">
      <w:pPr>
        <w:rPr>
          <w:rFonts w:ascii="Verdana" w:hAnsi="Verdana"/>
        </w:rPr>
      </w:pPr>
    </w:p>
    <w:p w:rsidR="00FA44AA" w:rsidRPr="007F56B3" w:rsidRDefault="00FA44AA" w:rsidP="004B39D5">
      <w:pPr>
        <w:rPr>
          <w:rFonts w:ascii="Verdana" w:hAnsi="Verdana"/>
        </w:rPr>
      </w:pPr>
      <w:r w:rsidRPr="007F56B3">
        <w:rPr>
          <w:rFonts w:ascii="Verdana" w:hAnsi="Verdana"/>
          <w:b/>
        </w:rPr>
        <w:t>Art. 3</w:t>
      </w:r>
      <w:r w:rsidR="0026005C" w:rsidRPr="007F56B3">
        <w:rPr>
          <w:rFonts w:ascii="Verdana" w:hAnsi="Verdana"/>
        </w:rPr>
        <w:t>.</w:t>
      </w:r>
      <w:r w:rsidRPr="007F56B3">
        <w:rPr>
          <w:rFonts w:ascii="Verdana" w:hAnsi="Verdana"/>
        </w:rPr>
        <w:t xml:space="preserve"> De voorrangsregel van dit</w:t>
      </w:r>
      <w:r w:rsidR="00526FCB" w:rsidRPr="007F56B3">
        <w:rPr>
          <w:rFonts w:ascii="Verdana" w:hAnsi="Verdana"/>
        </w:rPr>
        <w:t xml:space="preserve"> gemeentelijk reglement geldt boven</w:t>
      </w:r>
      <w:r w:rsidRPr="007F56B3">
        <w:rPr>
          <w:rFonts w:ascii="Verdana" w:hAnsi="Verdana"/>
        </w:rPr>
        <w:t xml:space="preserve"> de overige voorrangsregels van artikel 19, 1</w:t>
      </w:r>
      <w:r w:rsidRPr="007F56B3">
        <w:rPr>
          <w:rFonts w:ascii="Verdana" w:hAnsi="Verdana"/>
          <w:vertAlign w:val="superscript"/>
        </w:rPr>
        <w:t>e</w:t>
      </w:r>
      <w:r w:rsidRPr="007F56B3">
        <w:rPr>
          <w:rFonts w:ascii="Verdana" w:hAnsi="Verdana"/>
        </w:rPr>
        <w:t xml:space="preserve"> lid van het Sociaal Huurbesluit van 12.10.2007. </w:t>
      </w:r>
    </w:p>
    <w:p w:rsidR="00FA44AA" w:rsidRPr="007F56B3" w:rsidRDefault="00FA44AA" w:rsidP="00FA44AA">
      <w:pPr>
        <w:rPr>
          <w:rFonts w:ascii="Verdana" w:hAnsi="Verdana"/>
        </w:rPr>
      </w:pPr>
    </w:p>
    <w:p w:rsidR="00FA44AA" w:rsidRPr="007F56B3" w:rsidRDefault="00FA44AA" w:rsidP="00823F77">
      <w:pPr>
        <w:outlineLvl w:val="0"/>
        <w:rPr>
          <w:rFonts w:ascii="Verdana" w:hAnsi="Verdana"/>
          <w:smallCaps/>
        </w:rPr>
      </w:pPr>
      <w:r w:rsidRPr="007F56B3">
        <w:rPr>
          <w:rFonts w:ascii="Verdana" w:hAnsi="Verdana"/>
          <w:smallCaps/>
        </w:rPr>
        <w:t>Uitvoering</w:t>
      </w:r>
      <w:r w:rsidR="0026005C" w:rsidRPr="007F56B3">
        <w:rPr>
          <w:rFonts w:ascii="Verdana" w:hAnsi="Verdana"/>
          <w:smallCaps/>
        </w:rPr>
        <w:t xml:space="preserve"> van het reglement</w:t>
      </w:r>
    </w:p>
    <w:p w:rsidR="00FA44AA" w:rsidRPr="007F56B3" w:rsidRDefault="00FA44AA" w:rsidP="00FA44AA">
      <w:pPr>
        <w:rPr>
          <w:rFonts w:ascii="Verdana" w:hAnsi="Verdana"/>
        </w:rPr>
      </w:pPr>
    </w:p>
    <w:p w:rsidR="00FA44AA" w:rsidRPr="007F56B3" w:rsidRDefault="00FA44AA" w:rsidP="004B39D5">
      <w:pPr>
        <w:rPr>
          <w:rFonts w:ascii="Verdana" w:hAnsi="Verdana"/>
        </w:rPr>
      </w:pPr>
      <w:r w:rsidRPr="007F56B3">
        <w:rPr>
          <w:rFonts w:ascii="Verdana" w:hAnsi="Verdana"/>
          <w:b/>
        </w:rPr>
        <w:t>Art. 4</w:t>
      </w:r>
      <w:r w:rsidR="0026005C" w:rsidRPr="007F56B3">
        <w:rPr>
          <w:rFonts w:ascii="Verdana" w:hAnsi="Verdana"/>
        </w:rPr>
        <w:t xml:space="preserve">. </w:t>
      </w:r>
      <w:r w:rsidRPr="007F56B3">
        <w:rPr>
          <w:rFonts w:ascii="Verdana" w:hAnsi="Verdana"/>
        </w:rPr>
        <w:t xml:space="preserve">De gemeenteraad belast de </w:t>
      </w:r>
      <w:r w:rsidR="00653BEA" w:rsidRPr="007F56B3">
        <w:rPr>
          <w:rFonts w:ascii="Verdana" w:hAnsi="Verdana"/>
        </w:rPr>
        <w:t>sociale huisvestingsmaatschappij</w:t>
      </w:r>
      <w:r w:rsidR="00785B74" w:rsidRPr="007F56B3">
        <w:rPr>
          <w:rFonts w:ascii="Verdana" w:hAnsi="Verdana"/>
        </w:rPr>
        <w:t>en</w:t>
      </w:r>
      <w:r w:rsidR="00653BEA" w:rsidRPr="007F56B3">
        <w:rPr>
          <w:rFonts w:ascii="Verdana" w:hAnsi="Verdana"/>
        </w:rPr>
        <w:t xml:space="preserve"> </w:t>
      </w:r>
      <w:r w:rsidR="00785B74" w:rsidRPr="007F56B3">
        <w:rPr>
          <w:rFonts w:ascii="Verdana" w:hAnsi="Verdana"/>
        </w:rPr>
        <w:t>Ninove Welzijn</w:t>
      </w:r>
      <w:r w:rsidRPr="007F56B3">
        <w:rPr>
          <w:rFonts w:ascii="Verdana" w:hAnsi="Verdana"/>
        </w:rPr>
        <w:t xml:space="preserve"> </w:t>
      </w:r>
      <w:r w:rsidR="000B185C" w:rsidRPr="007F56B3">
        <w:rPr>
          <w:rFonts w:ascii="Verdana" w:hAnsi="Verdana"/>
        </w:rPr>
        <w:t xml:space="preserve">en Denderstreek </w:t>
      </w:r>
      <w:r w:rsidRPr="007F56B3">
        <w:rPr>
          <w:rFonts w:ascii="Verdana" w:hAnsi="Verdana"/>
        </w:rPr>
        <w:t xml:space="preserve">met </w:t>
      </w:r>
      <w:r w:rsidR="002D59E8" w:rsidRPr="007F56B3">
        <w:rPr>
          <w:rFonts w:ascii="Verdana" w:hAnsi="Verdana"/>
        </w:rPr>
        <w:t>de uitvoering van dit reglement, die de voorrangsregel opne</w:t>
      </w:r>
      <w:r w:rsidR="00AF529C">
        <w:rPr>
          <w:rFonts w:ascii="Verdana" w:hAnsi="Verdana"/>
        </w:rPr>
        <w:t>men in hun</w:t>
      </w:r>
      <w:r w:rsidR="002D59E8" w:rsidRPr="007F56B3">
        <w:rPr>
          <w:rFonts w:ascii="Verdana" w:hAnsi="Verdana"/>
        </w:rPr>
        <w:t xml:space="preserve"> intern huurreglement.</w:t>
      </w:r>
    </w:p>
    <w:p w:rsidR="00FA44AA" w:rsidRPr="007F56B3" w:rsidRDefault="00FA44AA" w:rsidP="00FA44AA">
      <w:pPr>
        <w:rPr>
          <w:rFonts w:ascii="Verdana" w:hAnsi="Verdana"/>
        </w:rPr>
      </w:pPr>
    </w:p>
    <w:p w:rsidR="00FA44AA" w:rsidRPr="007F56B3" w:rsidRDefault="00FA44AA" w:rsidP="00CF77C3">
      <w:pPr>
        <w:keepNext/>
        <w:outlineLvl w:val="0"/>
        <w:rPr>
          <w:rFonts w:ascii="Verdana" w:hAnsi="Verdana"/>
          <w:smallCaps/>
        </w:rPr>
      </w:pPr>
      <w:r w:rsidRPr="007F56B3">
        <w:rPr>
          <w:rFonts w:ascii="Verdana" w:hAnsi="Verdana"/>
          <w:smallCaps/>
        </w:rPr>
        <w:t>Inwerkingtreding</w:t>
      </w:r>
    </w:p>
    <w:p w:rsidR="00FA44AA" w:rsidRPr="007F56B3" w:rsidRDefault="00FA44AA" w:rsidP="00CF77C3">
      <w:pPr>
        <w:keepNext/>
        <w:rPr>
          <w:rFonts w:ascii="Verdana" w:hAnsi="Verdana"/>
        </w:rPr>
      </w:pPr>
    </w:p>
    <w:p w:rsidR="002D59E8" w:rsidRPr="007F56B3" w:rsidRDefault="00FA44AA" w:rsidP="0038657D">
      <w:pPr>
        <w:rPr>
          <w:rFonts w:ascii="Verdana" w:hAnsi="Verdana"/>
        </w:rPr>
      </w:pPr>
      <w:r w:rsidRPr="007F56B3">
        <w:rPr>
          <w:rFonts w:ascii="Verdana" w:hAnsi="Verdana"/>
          <w:b/>
        </w:rPr>
        <w:t>Art. 5</w:t>
      </w:r>
      <w:r w:rsidR="0026005C" w:rsidRPr="007F56B3">
        <w:rPr>
          <w:rFonts w:ascii="Verdana" w:hAnsi="Verdana"/>
        </w:rPr>
        <w:t xml:space="preserve">. </w:t>
      </w:r>
      <w:r w:rsidR="002D59E8" w:rsidRPr="007F56B3">
        <w:rPr>
          <w:rFonts w:ascii="Verdana" w:hAnsi="Verdana"/>
        </w:rPr>
        <w:t xml:space="preserve">Het reglement treedt in werking op de eerste dag </w:t>
      </w:r>
      <w:r w:rsidR="00526FCB" w:rsidRPr="007F56B3">
        <w:rPr>
          <w:rFonts w:ascii="Verdana" w:hAnsi="Verdana"/>
        </w:rPr>
        <w:t>nadat de gemeente de</w:t>
      </w:r>
      <w:r w:rsidR="002D59E8" w:rsidRPr="007F56B3">
        <w:rPr>
          <w:rFonts w:ascii="Verdana" w:hAnsi="Verdana"/>
        </w:rPr>
        <w:t xml:space="preserve"> goedkeuring </w:t>
      </w:r>
      <w:r w:rsidR="00526FCB" w:rsidRPr="007F56B3">
        <w:rPr>
          <w:rFonts w:ascii="Verdana" w:hAnsi="Verdana"/>
        </w:rPr>
        <w:t>van de minister heeft ontvangen. B</w:t>
      </w:r>
      <w:r w:rsidR="002D59E8" w:rsidRPr="007F56B3">
        <w:rPr>
          <w:rFonts w:ascii="Verdana" w:hAnsi="Verdana"/>
        </w:rPr>
        <w:t xml:space="preserve">ij gebrek aan </w:t>
      </w:r>
      <w:r w:rsidR="000C7E96" w:rsidRPr="007F56B3">
        <w:rPr>
          <w:rFonts w:ascii="Verdana" w:hAnsi="Verdana"/>
        </w:rPr>
        <w:t xml:space="preserve">een </w:t>
      </w:r>
      <w:r w:rsidR="002D59E8" w:rsidRPr="007F56B3">
        <w:rPr>
          <w:rFonts w:ascii="Verdana" w:hAnsi="Verdana"/>
        </w:rPr>
        <w:t>beslissing</w:t>
      </w:r>
      <w:r w:rsidR="00526FCB" w:rsidRPr="007F56B3">
        <w:rPr>
          <w:rFonts w:ascii="Verdana" w:hAnsi="Verdana"/>
        </w:rPr>
        <w:t xml:space="preserve"> </w:t>
      </w:r>
      <w:r w:rsidR="0038657D" w:rsidRPr="007F56B3">
        <w:rPr>
          <w:rFonts w:ascii="Verdana" w:hAnsi="Verdana"/>
        </w:rPr>
        <w:t xml:space="preserve">van de minister </w:t>
      </w:r>
      <w:r w:rsidR="00526FCB" w:rsidRPr="007F56B3">
        <w:rPr>
          <w:rFonts w:ascii="Verdana" w:hAnsi="Verdana"/>
        </w:rPr>
        <w:t xml:space="preserve">treedt het reglement in werking </w:t>
      </w:r>
      <w:r w:rsidR="002D59E8" w:rsidRPr="007F56B3">
        <w:rPr>
          <w:rFonts w:ascii="Verdana" w:hAnsi="Verdana"/>
        </w:rPr>
        <w:t xml:space="preserve">negentig dagen </w:t>
      </w:r>
      <w:r w:rsidR="000C7E96" w:rsidRPr="007F56B3">
        <w:rPr>
          <w:rFonts w:ascii="Verdana" w:hAnsi="Verdana"/>
        </w:rPr>
        <w:t>nadat</w:t>
      </w:r>
      <w:r w:rsidR="002D59E8" w:rsidRPr="007F56B3">
        <w:rPr>
          <w:rFonts w:ascii="Verdana" w:hAnsi="Verdana"/>
        </w:rPr>
        <w:t xml:space="preserve"> de administratie</w:t>
      </w:r>
      <w:r w:rsidR="00526FCB" w:rsidRPr="007F56B3">
        <w:rPr>
          <w:rFonts w:ascii="Verdana" w:hAnsi="Verdana"/>
        </w:rPr>
        <w:t xml:space="preserve"> van de minister</w:t>
      </w:r>
      <w:r w:rsidR="002D59E8" w:rsidRPr="007F56B3">
        <w:rPr>
          <w:rFonts w:ascii="Verdana" w:hAnsi="Verdana"/>
        </w:rPr>
        <w:t xml:space="preserve"> (</w:t>
      </w:r>
      <w:r w:rsidR="0038657D" w:rsidRPr="007F56B3">
        <w:rPr>
          <w:rFonts w:ascii="Verdana" w:hAnsi="Verdana"/>
        </w:rPr>
        <w:t>Agentschap Wonen-Vlaanderen</w:t>
      </w:r>
      <w:r w:rsidR="002D59E8" w:rsidRPr="007F56B3">
        <w:rPr>
          <w:rFonts w:ascii="Verdana" w:hAnsi="Verdana"/>
        </w:rPr>
        <w:t>, Afdeling Woonbeleid)</w:t>
      </w:r>
      <w:r w:rsidR="000C7E96" w:rsidRPr="007F56B3">
        <w:rPr>
          <w:rFonts w:ascii="Verdana" w:hAnsi="Verdana"/>
        </w:rPr>
        <w:t xml:space="preserve"> de ontvangst van het toewijzingsreglement heeft gemeld.</w:t>
      </w:r>
    </w:p>
    <w:p w:rsidR="002D59E8" w:rsidRPr="007F56B3" w:rsidRDefault="002D59E8" w:rsidP="00FA44AA">
      <w:pPr>
        <w:rPr>
          <w:rFonts w:ascii="Verdana" w:hAnsi="Verdana"/>
        </w:rPr>
      </w:pPr>
    </w:p>
    <w:p w:rsidR="002D59E8" w:rsidRPr="007F56B3" w:rsidRDefault="002D59E8" w:rsidP="00823F77">
      <w:pPr>
        <w:keepNext/>
        <w:outlineLvl w:val="0"/>
        <w:rPr>
          <w:rFonts w:ascii="Verdana" w:hAnsi="Verdana"/>
          <w:smallCaps/>
        </w:rPr>
      </w:pPr>
      <w:r w:rsidRPr="007F56B3">
        <w:rPr>
          <w:rFonts w:ascii="Verdana" w:hAnsi="Verdana"/>
          <w:smallCaps/>
        </w:rPr>
        <w:t>Bekendmaking</w:t>
      </w:r>
      <w:r w:rsidR="0026005C" w:rsidRPr="007F56B3">
        <w:rPr>
          <w:rFonts w:ascii="Verdana" w:hAnsi="Verdana"/>
          <w:smallCaps/>
        </w:rPr>
        <w:t xml:space="preserve"> van het reglement</w:t>
      </w:r>
    </w:p>
    <w:p w:rsidR="002D59E8" w:rsidRPr="007F56B3" w:rsidRDefault="002D59E8" w:rsidP="00936AC7">
      <w:pPr>
        <w:keepNext/>
        <w:rPr>
          <w:rFonts w:ascii="Verdana" w:hAnsi="Verdana"/>
        </w:rPr>
      </w:pPr>
    </w:p>
    <w:p w:rsidR="002D59E8" w:rsidRPr="007F56B3" w:rsidRDefault="002D59E8" w:rsidP="00F30AEC">
      <w:pPr>
        <w:rPr>
          <w:rFonts w:ascii="Verdana" w:hAnsi="Verdana"/>
        </w:rPr>
      </w:pPr>
      <w:r w:rsidRPr="007F56B3">
        <w:rPr>
          <w:rFonts w:ascii="Verdana" w:hAnsi="Verdana"/>
          <w:b/>
        </w:rPr>
        <w:t>Art. 6</w:t>
      </w:r>
      <w:r w:rsidR="0026005C" w:rsidRPr="007F56B3">
        <w:rPr>
          <w:rFonts w:ascii="Verdana" w:hAnsi="Verdana"/>
        </w:rPr>
        <w:t xml:space="preserve">. </w:t>
      </w:r>
      <w:r w:rsidRPr="007F56B3">
        <w:rPr>
          <w:rFonts w:ascii="Verdana" w:hAnsi="Verdana"/>
        </w:rPr>
        <w:t xml:space="preserve">Het toewijzingsreglement is een openbaar document. Het reglement </w:t>
      </w:r>
      <w:r w:rsidR="00A0510B" w:rsidRPr="007F56B3">
        <w:rPr>
          <w:rFonts w:ascii="Verdana" w:hAnsi="Verdana"/>
        </w:rPr>
        <w:t>is ter beschikking</w:t>
      </w:r>
      <w:r w:rsidR="00526FCB" w:rsidRPr="007F56B3">
        <w:rPr>
          <w:rFonts w:ascii="Verdana" w:hAnsi="Verdana"/>
        </w:rPr>
        <w:t xml:space="preserve"> bij de receptie van </w:t>
      </w:r>
      <w:r w:rsidR="00A0510B" w:rsidRPr="007F56B3">
        <w:rPr>
          <w:rFonts w:ascii="Verdana" w:hAnsi="Verdana"/>
        </w:rPr>
        <w:t xml:space="preserve">de SHM </w:t>
      </w:r>
      <w:r w:rsidR="00785B74" w:rsidRPr="007F56B3">
        <w:rPr>
          <w:rFonts w:ascii="Verdana" w:hAnsi="Verdana"/>
        </w:rPr>
        <w:t>Ninove Welzijn</w:t>
      </w:r>
      <w:r w:rsidR="000B185C" w:rsidRPr="007F56B3">
        <w:rPr>
          <w:rFonts w:ascii="Verdana" w:hAnsi="Verdana"/>
        </w:rPr>
        <w:t>, SHM Denderstreek</w:t>
      </w:r>
      <w:r w:rsidR="00526FCB" w:rsidRPr="007F56B3">
        <w:rPr>
          <w:rFonts w:ascii="Verdana" w:hAnsi="Verdana"/>
        </w:rPr>
        <w:t xml:space="preserve"> en </w:t>
      </w:r>
      <w:r w:rsidR="00A0510B" w:rsidRPr="007F56B3">
        <w:rPr>
          <w:rFonts w:ascii="Verdana" w:hAnsi="Verdana"/>
        </w:rPr>
        <w:t>bij het</w:t>
      </w:r>
      <w:r w:rsidR="00526FCB" w:rsidRPr="007F56B3">
        <w:rPr>
          <w:rFonts w:ascii="Verdana" w:hAnsi="Verdana"/>
        </w:rPr>
        <w:t xml:space="preserve"> informatieloket van het </w:t>
      </w:r>
      <w:r w:rsidR="000C7E96" w:rsidRPr="007F56B3">
        <w:rPr>
          <w:rFonts w:ascii="Verdana" w:hAnsi="Verdana"/>
        </w:rPr>
        <w:t>OCMW en de gemeente.</w:t>
      </w:r>
      <w:r w:rsidR="00BC6E4C" w:rsidRPr="007F56B3">
        <w:rPr>
          <w:rFonts w:ascii="Verdana" w:hAnsi="Verdana"/>
        </w:rPr>
        <w:t xml:space="preserve"> Het is ook ter beschikking op d</w:t>
      </w:r>
      <w:r w:rsidR="000C7E96" w:rsidRPr="007F56B3">
        <w:rPr>
          <w:rFonts w:ascii="Verdana" w:hAnsi="Verdana"/>
        </w:rPr>
        <w:t>e gemeentelijke website.</w:t>
      </w:r>
    </w:p>
    <w:p w:rsidR="000C7E96" w:rsidRPr="007F56B3" w:rsidRDefault="000C7E96" w:rsidP="000C7E96">
      <w:pPr>
        <w:rPr>
          <w:rFonts w:ascii="Verdana" w:hAnsi="Verdana"/>
        </w:rPr>
      </w:pPr>
    </w:p>
    <w:p w:rsidR="00526FCB" w:rsidRPr="007F56B3" w:rsidRDefault="00EB787D" w:rsidP="002D59E8">
      <w:pPr>
        <w:rPr>
          <w:rFonts w:ascii="Verdana" w:hAnsi="Verdana"/>
        </w:rPr>
      </w:pPr>
      <w:r w:rsidRPr="007F56B3">
        <w:rPr>
          <w:rFonts w:ascii="Verdana" w:hAnsi="Verdana"/>
        </w:rPr>
        <w:t>Een afschrift van het toewijzingsreglement wordt bezorgd aan de toezichthouder op de sociale huisvesting, dit is de Afdeling Toezicht van het Agentschap Inspe</w:t>
      </w:r>
      <w:r w:rsidR="007052D0" w:rsidRPr="007F56B3">
        <w:rPr>
          <w:rFonts w:ascii="Verdana" w:hAnsi="Verdana"/>
        </w:rPr>
        <w:t>ctie RWO (Koning Albert II-laan</w:t>
      </w:r>
      <w:r w:rsidRPr="007F56B3">
        <w:rPr>
          <w:rFonts w:ascii="Verdana" w:hAnsi="Verdana"/>
        </w:rPr>
        <w:t xml:space="preserve"> 19 bus 22, 1210 Brussel).  </w:t>
      </w:r>
    </w:p>
    <w:p w:rsidR="004814C6" w:rsidRPr="007F56B3" w:rsidRDefault="004814C6" w:rsidP="004814C6">
      <w:pPr>
        <w:ind w:left="708"/>
        <w:rPr>
          <w:rFonts w:ascii="Verdana" w:hAnsi="Verdana"/>
        </w:rPr>
      </w:pPr>
    </w:p>
    <w:p w:rsidR="00A4793A" w:rsidRPr="007F56B3" w:rsidRDefault="00A4793A" w:rsidP="004814C6">
      <w:pPr>
        <w:ind w:left="708"/>
        <w:rPr>
          <w:rFonts w:ascii="Verdana" w:hAnsi="Verdana"/>
        </w:rPr>
      </w:pPr>
    </w:p>
    <w:p w:rsidR="00A4793A" w:rsidRPr="007F56B3" w:rsidRDefault="00A4793A" w:rsidP="004814C6">
      <w:pPr>
        <w:ind w:left="708"/>
        <w:rPr>
          <w:rFonts w:ascii="Verdana" w:hAnsi="Verdana"/>
        </w:rPr>
      </w:pPr>
    </w:p>
    <w:p w:rsidR="00A4793A" w:rsidRPr="007F56B3" w:rsidRDefault="00A4793A" w:rsidP="004814C6">
      <w:pPr>
        <w:ind w:left="708"/>
        <w:rPr>
          <w:rFonts w:ascii="Verdana" w:hAnsi="Verdana"/>
        </w:rPr>
      </w:pPr>
    </w:p>
    <w:p w:rsidR="00A4793A" w:rsidRPr="007F56B3" w:rsidRDefault="00A4793A" w:rsidP="004814C6">
      <w:pPr>
        <w:ind w:left="708"/>
        <w:rPr>
          <w:rFonts w:ascii="Verdana" w:hAnsi="Verdana"/>
        </w:rPr>
      </w:pPr>
    </w:p>
    <w:p w:rsidR="00A4793A" w:rsidRPr="007F56B3" w:rsidRDefault="00A4793A" w:rsidP="004814C6">
      <w:pPr>
        <w:ind w:left="708"/>
        <w:rPr>
          <w:rFonts w:ascii="Verdana" w:hAnsi="Verdana"/>
        </w:rPr>
      </w:pPr>
    </w:p>
    <w:p w:rsidR="00A4793A" w:rsidRPr="007F56B3" w:rsidRDefault="00A4793A" w:rsidP="004814C6">
      <w:pPr>
        <w:ind w:left="708"/>
        <w:rPr>
          <w:rFonts w:ascii="Verdana" w:hAnsi="Verdana"/>
        </w:rPr>
      </w:pPr>
    </w:p>
    <w:p w:rsidR="00A4793A" w:rsidRPr="007F56B3" w:rsidRDefault="00A4793A" w:rsidP="004814C6">
      <w:pPr>
        <w:ind w:left="708"/>
        <w:rPr>
          <w:rFonts w:ascii="Verdana" w:hAnsi="Verdana"/>
        </w:rPr>
      </w:pPr>
    </w:p>
    <w:p w:rsidR="00A4793A" w:rsidRPr="007F56B3" w:rsidRDefault="00A4793A" w:rsidP="004814C6">
      <w:pPr>
        <w:ind w:left="708"/>
        <w:rPr>
          <w:rFonts w:ascii="Verdana" w:hAnsi="Verdana"/>
        </w:rPr>
      </w:pPr>
    </w:p>
    <w:p w:rsidR="00A4793A" w:rsidRPr="007F56B3" w:rsidRDefault="00A4793A" w:rsidP="004814C6">
      <w:pPr>
        <w:ind w:left="708"/>
        <w:rPr>
          <w:rFonts w:ascii="Verdana" w:hAnsi="Verdana"/>
        </w:rPr>
      </w:pPr>
    </w:p>
    <w:p w:rsidR="00A4793A" w:rsidRPr="007F56B3" w:rsidRDefault="00A4793A" w:rsidP="004814C6">
      <w:pPr>
        <w:ind w:left="708"/>
        <w:rPr>
          <w:rFonts w:ascii="Verdana" w:hAnsi="Verdana"/>
        </w:rPr>
      </w:pPr>
    </w:p>
    <w:p w:rsidR="00A4793A" w:rsidRPr="007F56B3" w:rsidRDefault="00A4793A" w:rsidP="004814C6">
      <w:pPr>
        <w:ind w:left="708"/>
        <w:rPr>
          <w:rFonts w:ascii="Verdana" w:hAnsi="Verdana"/>
        </w:rPr>
      </w:pPr>
    </w:p>
    <w:p w:rsidR="004814C6" w:rsidRPr="007F56B3" w:rsidRDefault="0033177C" w:rsidP="004814C6">
      <w:pPr>
        <w:rPr>
          <w:rFonts w:ascii="Verdana" w:hAnsi="Verdana"/>
          <w:smallCaps/>
        </w:rPr>
      </w:pPr>
      <w:r w:rsidRPr="007F56B3">
        <w:rPr>
          <w:rFonts w:ascii="Verdana" w:hAnsi="Verdana"/>
          <w:smallCaps/>
        </w:rPr>
        <w:t>Bijlage I</w:t>
      </w:r>
    </w:p>
    <w:p w:rsidR="0033177C" w:rsidRPr="007F56B3" w:rsidRDefault="0033177C" w:rsidP="004814C6">
      <w:pPr>
        <w:rPr>
          <w:rFonts w:ascii="Verdana" w:hAnsi="Verdana"/>
        </w:rPr>
      </w:pPr>
    </w:p>
    <w:p w:rsidR="0033177C" w:rsidRPr="007F56B3" w:rsidRDefault="0033177C" w:rsidP="004814C6">
      <w:pPr>
        <w:rPr>
          <w:rFonts w:ascii="Verdana" w:hAnsi="Verdana"/>
        </w:rPr>
      </w:pPr>
      <w:r w:rsidRPr="007F56B3">
        <w:rPr>
          <w:rFonts w:ascii="Verdana" w:hAnsi="Verdana"/>
        </w:rPr>
        <w:t>[Adreslijst van woningen met voorrang 65+]</w:t>
      </w:r>
    </w:p>
    <w:p w:rsidR="00A0510B" w:rsidRPr="007F56B3" w:rsidRDefault="00A0510B" w:rsidP="004814C6">
      <w:pPr>
        <w:rPr>
          <w:rFonts w:ascii="Verdana" w:hAnsi="Verdana"/>
        </w:rPr>
      </w:pPr>
    </w:p>
    <w:p w:rsidR="00B548E7" w:rsidRPr="007F56B3" w:rsidRDefault="00B548E7" w:rsidP="004814C6">
      <w:pPr>
        <w:rPr>
          <w:rFonts w:ascii="Verdana" w:hAnsi="Verdana"/>
        </w:rPr>
      </w:pPr>
    </w:p>
    <w:p w:rsidR="00A0510B" w:rsidRPr="007F56B3" w:rsidRDefault="00A0510B" w:rsidP="004814C6">
      <w:pPr>
        <w:rPr>
          <w:rFonts w:ascii="Verdana" w:hAnsi="Verdana"/>
        </w:rPr>
      </w:pPr>
    </w:p>
    <w:p w:rsidR="00A0510B" w:rsidRPr="007F56B3" w:rsidRDefault="00A0510B" w:rsidP="00A0510B">
      <w:pPr>
        <w:rPr>
          <w:rFonts w:ascii="Verdana" w:hAnsi="Verdana"/>
        </w:rPr>
      </w:pPr>
    </w:p>
    <w:p w:rsidR="00CD29AA" w:rsidRPr="007F56B3" w:rsidRDefault="00CD29AA" w:rsidP="004504FF">
      <w:pPr>
        <w:rPr>
          <w:rFonts w:ascii="Verdana" w:hAnsi="Verdana"/>
        </w:rPr>
      </w:pPr>
      <w:r w:rsidRPr="007F56B3">
        <w:rPr>
          <w:rFonts w:ascii="Verdana" w:hAnsi="Verdana"/>
        </w:rPr>
        <w:t xml:space="preserve"> </w:t>
      </w:r>
    </w:p>
    <w:sectPr w:rsidR="00CD29AA" w:rsidRPr="007F5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BC3"/>
    <w:multiLevelType w:val="hybridMultilevel"/>
    <w:tmpl w:val="F1ECA1F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9802973"/>
    <w:multiLevelType w:val="hybridMultilevel"/>
    <w:tmpl w:val="2BFCC94E"/>
    <w:lvl w:ilvl="0" w:tplc="109ECA1C">
      <w:numFmt w:val="bullet"/>
      <w:lvlText w:val="•"/>
      <w:lvlJc w:val="left"/>
      <w:pPr>
        <w:ind w:left="1065" w:hanging="705"/>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2A974F5"/>
    <w:multiLevelType w:val="hybridMultilevel"/>
    <w:tmpl w:val="45B459BA"/>
    <w:lvl w:ilvl="0" w:tplc="109ECA1C">
      <w:numFmt w:val="bullet"/>
      <w:lvlText w:val="•"/>
      <w:lvlJc w:val="left"/>
      <w:pPr>
        <w:ind w:left="1065" w:hanging="705"/>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28C7107"/>
    <w:multiLevelType w:val="hybridMultilevel"/>
    <w:tmpl w:val="D2EC5BD4"/>
    <w:lvl w:ilvl="0" w:tplc="109ECA1C">
      <w:numFmt w:val="bullet"/>
      <w:lvlText w:val="•"/>
      <w:lvlJc w:val="left"/>
      <w:pPr>
        <w:ind w:left="1425" w:hanging="705"/>
      </w:pPr>
      <w:rPr>
        <w:rFonts w:ascii="Times New Roman" w:eastAsia="Times New Roman"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6AB31B40"/>
    <w:multiLevelType w:val="hybridMultilevel"/>
    <w:tmpl w:val="14DEF868"/>
    <w:lvl w:ilvl="0" w:tplc="109ECA1C">
      <w:numFmt w:val="bullet"/>
      <w:lvlText w:val="•"/>
      <w:lvlJc w:val="left"/>
      <w:pPr>
        <w:ind w:left="1425" w:hanging="705"/>
      </w:pPr>
      <w:rPr>
        <w:rFonts w:ascii="Times New Roman" w:eastAsia="Times New Roman"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713F59EF"/>
    <w:multiLevelType w:val="hybridMultilevel"/>
    <w:tmpl w:val="FDA44B58"/>
    <w:lvl w:ilvl="0" w:tplc="08130001">
      <w:start w:val="1"/>
      <w:numFmt w:val="bullet"/>
      <w:lvlText w:val=""/>
      <w:lvlJc w:val="left"/>
      <w:pPr>
        <w:ind w:left="1065" w:hanging="705"/>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8DD0813"/>
    <w:multiLevelType w:val="hybridMultilevel"/>
    <w:tmpl w:val="E58812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FA47937"/>
    <w:multiLevelType w:val="hybridMultilevel"/>
    <w:tmpl w:val="1FD46E4A"/>
    <w:lvl w:ilvl="0" w:tplc="5ED22442">
      <w:start w:val="1"/>
      <w:numFmt w:val="bullet"/>
      <w:pStyle w:val="CommentaarOpsomming"/>
      <w:lvlText w:val=""/>
      <w:lvlJc w:val="left"/>
      <w:pPr>
        <w:tabs>
          <w:tab w:val="num" w:pos="1287"/>
        </w:tabs>
        <w:ind w:left="1287"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7B"/>
    <w:rsid w:val="00093A93"/>
    <w:rsid w:val="000B185C"/>
    <w:rsid w:val="000C7E96"/>
    <w:rsid w:val="001430D7"/>
    <w:rsid w:val="00151EDF"/>
    <w:rsid w:val="00173DCC"/>
    <w:rsid w:val="001B09BC"/>
    <w:rsid w:val="001D13B0"/>
    <w:rsid w:val="00207B4F"/>
    <w:rsid w:val="00211AF0"/>
    <w:rsid w:val="00221640"/>
    <w:rsid w:val="0026005C"/>
    <w:rsid w:val="002D4A66"/>
    <w:rsid w:val="002D59E8"/>
    <w:rsid w:val="0033177C"/>
    <w:rsid w:val="0034367B"/>
    <w:rsid w:val="00352B19"/>
    <w:rsid w:val="003675C7"/>
    <w:rsid w:val="00382160"/>
    <w:rsid w:val="0038657D"/>
    <w:rsid w:val="00416B32"/>
    <w:rsid w:val="0042075C"/>
    <w:rsid w:val="004245F5"/>
    <w:rsid w:val="004504FF"/>
    <w:rsid w:val="0045137A"/>
    <w:rsid w:val="00453082"/>
    <w:rsid w:val="004814C6"/>
    <w:rsid w:val="004B39D5"/>
    <w:rsid w:val="004D6315"/>
    <w:rsid w:val="004E6C74"/>
    <w:rsid w:val="00526FCB"/>
    <w:rsid w:val="005C6B70"/>
    <w:rsid w:val="00653BEA"/>
    <w:rsid w:val="00667C46"/>
    <w:rsid w:val="006D517B"/>
    <w:rsid w:val="00702018"/>
    <w:rsid w:val="007052D0"/>
    <w:rsid w:val="007251B3"/>
    <w:rsid w:val="00785B74"/>
    <w:rsid w:val="007A0BD6"/>
    <w:rsid w:val="007D111B"/>
    <w:rsid w:val="007D6CDA"/>
    <w:rsid w:val="007F56B3"/>
    <w:rsid w:val="00814C46"/>
    <w:rsid w:val="00823F77"/>
    <w:rsid w:val="0084604F"/>
    <w:rsid w:val="00864A9A"/>
    <w:rsid w:val="008804F4"/>
    <w:rsid w:val="0088439E"/>
    <w:rsid w:val="008C4E39"/>
    <w:rsid w:val="008D3258"/>
    <w:rsid w:val="008D36CC"/>
    <w:rsid w:val="00921259"/>
    <w:rsid w:val="00932CAF"/>
    <w:rsid w:val="00936AC7"/>
    <w:rsid w:val="009A7080"/>
    <w:rsid w:val="009A7343"/>
    <w:rsid w:val="009C0010"/>
    <w:rsid w:val="009C5E2C"/>
    <w:rsid w:val="00A0510B"/>
    <w:rsid w:val="00A31C82"/>
    <w:rsid w:val="00A3564F"/>
    <w:rsid w:val="00A4793A"/>
    <w:rsid w:val="00AA7B69"/>
    <w:rsid w:val="00AF529C"/>
    <w:rsid w:val="00B02935"/>
    <w:rsid w:val="00B47504"/>
    <w:rsid w:val="00B548E7"/>
    <w:rsid w:val="00B745BA"/>
    <w:rsid w:val="00BA1C47"/>
    <w:rsid w:val="00BC6E4C"/>
    <w:rsid w:val="00C21568"/>
    <w:rsid w:val="00C32E3B"/>
    <w:rsid w:val="00C46177"/>
    <w:rsid w:val="00C46FF2"/>
    <w:rsid w:val="00C5610A"/>
    <w:rsid w:val="00C6323E"/>
    <w:rsid w:val="00CA1008"/>
    <w:rsid w:val="00CB24EF"/>
    <w:rsid w:val="00CB49B0"/>
    <w:rsid w:val="00CD29AA"/>
    <w:rsid w:val="00CF77C3"/>
    <w:rsid w:val="00D673B4"/>
    <w:rsid w:val="00D77866"/>
    <w:rsid w:val="00D92962"/>
    <w:rsid w:val="00DA60DC"/>
    <w:rsid w:val="00E039D3"/>
    <w:rsid w:val="00E13C22"/>
    <w:rsid w:val="00E50AA0"/>
    <w:rsid w:val="00E752B9"/>
    <w:rsid w:val="00EB787D"/>
    <w:rsid w:val="00EC1370"/>
    <w:rsid w:val="00EC13DC"/>
    <w:rsid w:val="00ED118F"/>
    <w:rsid w:val="00ED347C"/>
    <w:rsid w:val="00F04278"/>
    <w:rsid w:val="00F30AEC"/>
    <w:rsid w:val="00F77B70"/>
    <w:rsid w:val="00F8213B"/>
    <w:rsid w:val="00FA44AA"/>
    <w:rsid w:val="00FB53B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519B2E-229F-4625-854B-0965C93A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mmentaarOpsomming">
    <w:name w:val="CommentaarOpsomming"/>
    <w:basedOn w:val="Standaard"/>
    <w:rsid w:val="00B745BA"/>
    <w:pPr>
      <w:numPr>
        <w:numId w:val="1"/>
      </w:numPr>
    </w:pPr>
  </w:style>
  <w:style w:type="paragraph" w:styleId="Documentstructuur">
    <w:name w:val="Document Map"/>
    <w:basedOn w:val="Standaard"/>
    <w:semiHidden/>
    <w:rsid w:val="00823F77"/>
    <w:pPr>
      <w:shd w:val="clear" w:color="auto" w:fill="000080"/>
    </w:pPr>
    <w:rPr>
      <w:rFonts w:ascii="Tahoma" w:hAnsi="Tahoma" w:cs="Tahoma"/>
      <w:sz w:val="20"/>
      <w:szCs w:val="20"/>
    </w:rPr>
  </w:style>
  <w:style w:type="paragraph" w:styleId="Normaalweb">
    <w:name w:val="Normal (Web)"/>
    <w:basedOn w:val="Standaard"/>
    <w:uiPriority w:val="99"/>
    <w:unhideWhenUsed/>
    <w:rsid w:val="00ED347C"/>
    <w:rPr>
      <w:lang w:val="nl-BE" w:eastAsia="nl-BE"/>
    </w:rPr>
  </w:style>
  <w:style w:type="table" w:styleId="Tabelraster">
    <w:name w:val="Table Grid"/>
    <w:basedOn w:val="Standaardtabel"/>
    <w:uiPriority w:val="59"/>
    <w:rsid w:val="00A479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38657D"/>
    <w:rPr>
      <w:rFonts w:ascii="Tahoma" w:hAnsi="Tahoma" w:cs="Tahoma"/>
      <w:sz w:val="16"/>
      <w:szCs w:val="16"/>
    </w:rPr>
  </w:style>
  <w:style w:type="character" w:customStyle="1" w:styleId="BallontekstChar">
    <w:name w:val="Ballontekst Char"/>
    <w:link w:val="Ballontekst"/>
    <w:rsid w:val="0038657D"/>
    <w:rPr>
      <w:rFonts w:ascii="Tahoma" w:hAnsi="Tahoma" w:cs="Tahoma"/>
      <w:sz w:val="16"/>
      <w:szCs w:val="16"/>
      <w:lang w:val="nl-NL" w:eastAsia="nl-NL"/>
    </w:rPr>
  </w:style>
  <w:style w:type="paragraph" w:styleId="Lijstalinea">
    <w:name w:val="List Paragraph"/>
    <w:basedOn w:val="Standaard"/>
    <w:uiPriority w:val="34"/>
    <w:qFormat/>
    <w:rsid w:val="00F30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957">
      <w:bodyDiv w:val="1"/>
      <w:marLeft w:val="0"/>
      <w:marRight w:val="0"/>
      <w:marTop w:val="0"/>
      <w:marBottom w:val="0"/>
      <w:divBdr>
        <w:top w:val="none" w:sz="0" w:space="0" w:color="auto"/>
        <w:left w:val="none" w:sz="0" w:space="0" w:color="auto"/>
        <w:bottom w:val="none" w:sz="0" w:space="0" w:color="auto"/>
        <w:right w:val="none" w:sz="0" w:space="0" w:color="auto"/>
      </w:divBdr>
    </w:div>
    <w:div w:id="1385324411">
      <w:bodyDiv w:val="1"/>
      <w:marLeft w:val="0"/>
      <w:marRight w:val="0"/>
      <w:marTop w:val="0"/>
      <w:marBottom w:val="0"/>
      <w:divBdr>
        <w:top w:val="none" w:sz="0" w:space="0" w:color="auto"/>
        <w:left w:val="none" w:sz="0" w:space="0" w:color="auto"/>
        <w:bottom w:val="none" w:sz="0" w:space="0" w:color="auto"/>
        <w:right w:val="none" w:sz="0" w:space="0" w:color="auto"/>
      </w:divBdr>
    </w:div>
    <w:div w:id="2015064072">
      <w:bodyDiv w:val="1"/>
      <w:marLeft w:val="0"/>
      <w:marRight w:val="0"/>
      <w:marTop w:val="0"/>
      <w:marBottom w:val="0"/>
      <w:divBdr>
        <w:top w:val="none" w:sz="0" w:space="0" w:color="auto"/>
        <w:left w:val="none" w:sz="0" w:space="0" w:color="auto"/>
        <w:bottom w:val="none" w:sz="0" w:space="0" w:color="auto"/>
        <w:right w:val="none" w:sz="0" w:space="0" w:color="auto"/>
      </w:divBdr>
      <w:divsChild>
        <w:div w:id="701173324">
          <w:marLeft w:val="0"/>
          <w:marRight w:val="0"/>
          <w:marTop w:val="100"/>
          <w:marBottom w:val="100"/>
          <w:divBdr>
            <w:top w:val="none" w:sz="0" w:space="0" w:color="auto"/>
            <w:left w:val="none" w:sz="0" w:space="0" w:color="auto"/>
            <w:bottom w:val="none" w:sz="0" w:space="0" w:color="auto"/>
            <w:right w:val="none" w:sz="0" w:space="0" w:color="auto"/>
          </w:divBdr>
          <w:divsChild>
            <w:div w:id="2055346018">
              <w:marLeft w:val="0"/>
              <w:marRight w:val="0"/>
              <w:marTop w:val="0"/>
              <w:marBottom w:val="0"/>
              <w:divBdr>
                <w:top w:val="none" w:sz="0" w:space="0" w:color="auto"/>
                <w:left w:val="none" w:sz="0" w:space="0" w:color="auto"/>
                <w:bottom w:val="none" w:sz="0" w:space="0" w:color="auto"/>
                <w:right w:val="none" w:sz="0" w:space="0" w:color="auto"/>
              </w:divBdr>
              <w:divsChild>
                <w:div w:id="1479107714">
                  <w:marLeft w:val="300"/>
                  <w:marRight w:val="0"/>
                  <w:marTop w:val="0"/>
                  <w:marBottom w:val="0"/>
                  <w:divBdr>
                    <w:top w:val="none" w:sz="0" w:space="0" w:color="auto"/>
                    <w:left w:val="none" w:sz="0" w:space="0" w:color="auto"/>
                    <w:bottom w:val="none" w:sz="0" w:space="0" w:color="auto"/>
                    <w:right w:val="none" w:sz="0" w:space="0" w:color="auto"/>
                  </w:divBdr>
                  <w:divsChild>
                    <w:div w:id="324363560">
                      <w:marLeft w:val="0"/>
                      <w:marRight w:val="0"/>
                      <w:marTop w:val="0"/>
                      <w:marBottom w:val="0"/>
                      <w:divBdr>
                        <w:top w:val="none" w:sz="0" w:space="0" w:color="auto"/>
                        <w:left w:val="none" w:sz="0" w:space="0" w:color="auto"/>
                        <w:bottom w:val="none" w:sz="0" w:space="0" w:color="auto"/>
                        <w:right w:val="none" w:sz="0" w:space="0" w:color="auto"/>
                      </w:divBdr>
                      <w:divsChild>
                        <w:div w:id="603730484">
                          <w:marLeft w:val="0"/>
                          <w:marRight w:val="0"/>
                          <w:marTop w:val="0"/>
                          <w:marBottom w:val="0"/>
                          <w:divBdr>
                            <w:top w:val="none" w:sz="0" w:space="0" w:color="auto"/>
                            <w:left w:val="none" w:sz="0" w:space="0" w:color="auto"/>
                            <w:bottom w:val="none" w:sz="0" w:space="0" w:color="auto"/>
                            <w:right w:val="none" w:sz="0" w:space="0" w:color="auto"/>
                          </w:divBdr>
                          <w:divsChild>
                            <w:div w:id="19872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E5EF-91DF-4760-A306-8C48E5D4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885</Words>
  <Characters>5140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Toewijzingsreglement voor de toewijzing van sociale huurwoningen op het grondgebied van Sint-Gillis-Waas</vt:lpstr>
    </vt:vector>
  </TitlesOfParts>
  <Company>MVG</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Toewijzingsreglement voor de toewijzing van sociale huurwoningen op het grondgebied van Sint-Gillis-Waas</dc:title>
  <dc:creator>vanpotje</dc:creator>
  <cp:lastModifiedBy>Vanderpoorten Nele</cp:lastModifiedBy>
  <cp:revision>8</cp:revision>
  <cp:lastPrinted>2015-04-20T10:04:00Z</cp:lastPrinted>
  <dcterms:created xsi:type="dcterms:W3CDTF">2015-04-20T12:24:00Z</dcterms:created>
  <dcterms:modified xsi:type="dcterms:W3CDTF">2015-10-28T09:42:00Z</dcterms:modified>
</cp:coreProperties>
</file>